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footer26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/>
        <w:drawing>
          <wp:inline distT="0" distB="0" distL="0" distR="0">
            <wp:extent cx="5344795" cy="729615"/>
            <wp:effectExtent l="0" t="0" r="0" b="0"/>
            <wp:docPr id="1" name="Рисунок 595" descr="O:\5. Услуги (РАБОТА)\1. Энергоаудит\6 этапов работ\1 этап (опросники заказчику)\опросник 2015\логотоп с полосо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95" descr="O:\5. Услуги (РАБОТА)\1. Энергоаудит\6 этапов работ\1 этап (опросники заказчику)\опросник 2015\логотоп с полосой 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val="ru-RU"/>
        </w:rPr>
        <w:br/>
      </w:r>
    </w:p>
    <w:p>
      <w:pPr>
        <w:pStyle w:val="Normal"/>
        <w:overflowPunct w:val="true"/>
        <w:spacing w:lineRule="exact" w:line="2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sectPr>
          <w:footerReference w:type="default" r:id="rId3"/>
          <w:type w:val="nextPage"/>
          <w:pgSz w:w="11906" w:h="16838"/>
          <w:pgMar w:left="1300" w:right="1520" w:header="0" w:top="740" w:footer="720" w:bottom="777" w:gutter="0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pStyle w:val="Normal"/>
        <w:overflowPunct w:val="true"/>
        <w:spacing w:before="67" w:after="0"/>
        <w:ind w:right="2117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За</w:t>
      </w:r>
      <w:r>
        <w:rPr>
          <w:rFonts w:cs="Times New Roman" w:ascii="Times New Roman" w:hAnsi="Times New Roman"/>
          <w:b/>
          <w:bCs/>
          <w:spacing w:val="-2"/>
          <w:sz w:val="28"/>
          <w:szCs w:val="28"/>
          <w:lang w:val="ru-RU"/>
        </w:rPr>
        <w:t>к</w:t>
      </w: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азчик:</w:t>
      </w:r>
    </w:p>
    <w:p>
      <w:pPr>
        <w:pStyle w:val="Normal"/>
        <w:overflowPunct w:val="true"/>
        <w:spacing w:lineRule="auto" w:line="288" w:before="57" w:after="0"/>
        <w:rPr>
          <w:lang w:val="ru-RU"/>
        </w:rPr>
      </w:pPr>
      <w:r>
        <w:rPr>
          <w:rFonts w:cs="Times New Roman" w:ascii="Times New Roman" w:hAnsi="Times New Roman"/>
          <w:spacing w:val="-1"/>
          <w:sz w:val="28"/>
          <w:szCs w:val="28"/>
          <w:lang w:val="ru-RU"/>
        </w:rPr>
        <w:t xml:space="preserve">ВРИО Главы городского поселения «Борзинское» </w:t>
      </w:r>
    </w:p>
    <w:p>
      <w:pPr>
        <w:pStyle w:val="Normal"/>
        <w:overflowPunct w:val="true"/>
        <w:spacing w:before="67" w:after="0"/>
        <w:ind w:left="118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br w:type="column"/>
      </w:r>
      <w:r>
        <w:rPr>
          <w:rFonts w:cs="Times New Roman" w:ascii="Times New Roman" w:hAnsi="Times New Roman"/>
          <w:b/>
          <w:bCs/>
          <w:spacing w:val="-1"/>
          <w:sz w:val="28"/>
          <w:szCs w:val="28"/>
          <w:lang w:val="ru-RU"/>
        </w:rPr>
        <w:t>Исполн</w:t>
      </w:r>
      <w:r>
        <w:rPr>
          <w:rFonts w:cs="Times New Roman" w:ascii="Times New Roman" w:hAnsi="Times New Roman"/>
          <w:b/>
          <w:bCs/>
          <w:spacing w:val="-2"/>
          <w:sz w:val="28"/>
          <w:szCs w:val="28"/>
          <w:lang w:val="ru-RU"/>
        </w:rPr>
        <w:t>и</w:t>
      </w:r>
      <w:r>
        <w:rPr>
          <w:rFonts w:cs="Times New Roman" w:ascii="Times New Roman" w:hAnsi="Times New Roman"/>
          <w:b/>
          <w:bCs/>
          <w:spacing w:val="-1"/>
          <w:sz w:val="28"/>
          <w:szCs w:val="28"/>
          <w:lang w:val="ru-RU"/>
        </w:rPr>
        <w:t>тел</w:t>
      </w: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ь:</w:t>
      </w:r>
    </w:p>
    <w:p>
      <w:pPr>
        <w:pStyle w:val="Normal"/>
        <w:overflowPunct w:val="true"/>
        <w:spacing w:before="57" w:after="0"/>
        <w:ind w:left="118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pacing w:val="-1"/>
          <w:sz w:val="28"/>
          <w:szCs w:val="28"/>
          <w:lang w:val="ru-RU"/>
        </w:rPr>
        <w:t>ОО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О </w:t>
      </w:r>
      <w:r>
        <w:rPr>
          <w:rFonts w:cs="Times New Roman" w:ascii="Times New Roman" w:hAnsi="Times New Roman"/>
          <w:spacing w:val="-1"/>
          <w:sz w:val="28"/>
          <w:szCs w:val="28"/>
          <w:lang w:val="ru-RU"/>
        </w:rPr>
        <w:t>"СибЭнергоСбережение</w:t>
      </w:r>
      <w:r>
        <w:rPr>
          <w:rFonts w:cs="Times New Roman" w:ascii="Times New Roman" w:hAnsi="Times New Roman"/>
          <w:sz w:val="28"/>
          <w:szCs w:val="28"/>
          <w:lang w:val="ru-RU"/>
        </w:rPr>
        <w:t>"</w:t>
      </w:r>
    </w:p>
    <w:p>
      <w:pPr>
        <w:pStyle w:val="Normal"/>
        <w:overflowPunct w:val="true"/>
        <w:spacing w:before="60" w:after="0"/>
        <w:ind w:left="118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pacing w:val="-1"/>
          <w:sz w:val="28"/>
          <w:szCs w:val="28"/>
          <w:lang w:val="ru-RU"/>
        </w:rPr>
        <w:t>Дирек</w:t>
      </w:r>
      <w:r>
        <w:rPr>
          <w:rFonts w:cs="Times New Roman" w:ascii="Times New Roman" w:hAnsi="Times New Roman"/>
          <w:spacing w:val="-2"/>
          <w:sz w:val="28"/>
          <w:szCs w:val="28"/>
          <w:lang w:val="ru-RU"/>
        </w:rPr>
        <w:t>т</w:t>
      </w:r>
      <w:r>
        <w:rPr>
          <w:rFonts w:cs="Times New Roman" w:ascii="Times New Roman" w:hAnsi="Times New Roman"/>
          <w:spacing w:val="-1"/>
          <w:sz w:val="28"/>
          <w:szCs w:val="28"/>
          <w:lang w:val="ru-RU"/>
        </w:rPr>
        <w:t>ор</w:t>
      </w:r>
    </w:p>
    <w:p>
      <w:pPr>
        <w:sectPr>
          <w:type w:val="continuous"/>
          <w:pgSz w:w="11906" w:h="16838"/>
          <w:pgMar w:left="1300" w:right="1520" w:header="0" w:top="740" w:footer="720" w:bottom="777" w:gutter="0"/>
          <w:cols w:num="2" w:equalWidth="false" w:sep="false">
            <w:col w:w="3422" w:space="1366"/>
            <w:col w:w="4297"/>
          </w:cols>
          <w:formProt w:val="false"/>
          <w:textDirection w:val="lrTb"/>
          <w:docGrid w:type="default" w:linePitch="299" w:charSpace="4096"/>
        </w:sectPr>
      </w:pPr>
    </w:p>
    <w:p>
      <w:pPr>
        <w:pStyle w:val="Normal"/>
        <w:overflowPunct w:val="true"/>
        <w:spacing w:lineRule="exact" w:line="280" w:before="14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2198" w:leader="none"/>
          <w:tab w:val="left" w:pos="4906" w:leader="none"/>
          <w:tab w:val="left" w:pos="7245" w:leader="none"/>
        </w:tabs>
        <w:overflowPunct w:val="true"/>
        <w:spacing w:before="67" w:after="0"/>
        <w:ind w:left="118" w:hanging="0"/>
        <w:jc w:val="both"/>
        <w:rPr>
          <w:lang w:val="ru-RU"/>
        </w:rPr>
      </w:pPr>
      <w:r>
        <w:rPr>
          <w:rFonts w:cs="Times New Roman" w:ascii="Times New Roman" w:hAnsi="Times New Roman"/>
          <w:sz w:val="28"/>
          <w:szCs w:val="28"/>
          <w:u w:val="single"/>
          <w:lang w:val="ru-RU"/>
        </w:rPr>
        <w:tab/>
      </w:r>
      <w:r>
        <w:rPr>
          <w:rFonts w:cs="Times New Roman" w:ascii="Times New Roman" w:hAnsi="Times New Roman"/>
          <w:sz w:val="28"/>
          <w:szCs w:val="28"/>
          <w:lang w:val="ru-RU"/>
        </w:rPr>
        <w:t>/А.В. Савватеев./</w:t>
        <w:tab/>
        <w:t>_______________/Стариков М.М./</w:t>
      </w:r>
    </w:p>
    <w:p>
      <w:pPr>
        <w:pStyle w:val="Normal"/>
        <w:overflowPunct w:val="true"/>
        <w:spacing w:lineRule="exact" w:line="150" w:before="2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sectPr>
          <w:type w:val="continuous"/>
          <w:pgSz w:w="11906" w:h="16838"/>
          <w:pgMar w:left="1300" w:right="1520" w:header="0" w:top="740" w:footer="720" w:bottom="777" w:gutter="0"/>
          <w:formProt w:val="false"/>
          <w:textDirection w:val="lrTb"/>
          <w:docGrid w:type="default" w:linePitch="299" w:charSpace="4096"/>
        </w:sectPr>
      </w:pPr>
    </w:p>
    <w:p>
      <w:pPr>
        <w:pStyle w:val="Normal"/>
        <w:tabs>
          <w:tab w:val="clear" w:pos="708"/>
          <w:tab w:val="left" w:pos="1029" w:leader="none"/>
          <w:tab w:val="left" w:pos="3175" w:leader="none"/>
        </w:tabs>
        <w:overflowPunct w:val="true"/>
        <w:spacing w:before="67" w:after="0"/>
        <w:ind w:left="118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pacing w:val="-1"/>
          <w:sz w:val="28"/>
          <w:szCs w:val="28"/>
          <w:lang w:val="ru-RU"/>
        </w:rPr>
        <w:t>«</w:t>
      </w:r>
      <w:r>
        <w:rPr>
          <w:rFonts w:cs="Times New Roman" w:ascii="Times New Roman" w:hAnsi="Times New Roman"/>
          <w:spacing w:val="-1"/>
          <w:sz w:val="28"/>
          <w:szCs w:val="28"/>
          <w:u w:val="single"/>
          <w:lang w:val="ru-RU"/>
        </w:rPr>
        <w:tab/>
      </w:r>
      <w:r>
        <w:rPr>
          <w:rFonts w:cs="Times New Roman" w:ascii="Times New Roman" w:hAnsi="Times New Roman"/>
          <w:sz w:val="28"/>
          <w:szCs w:val="28"/>
          <w:lang w:val="ru-RU"/>
        </w:rPr>
        <w:t>»</w:t>
      </w:r>
      <w:r>
        <w:rPr>
          <w:rFonts w:cs="Times New Roman" w:ascii="Times New Roman" w:hAnsi="Times New Roman"/>
          <w:sz w:val="28"/>
          <w:szCs w:val="28"/>
          <w:u w:val="single"/>
          <w:lang w:val="ru-RU"/>
        </w:rPr>
        <w:tab/>
      </w:r>
    </w:p>
    <w:p>
      <w:pPr>
        <w:pStyle w:val="Normal"/>
        <w:overflowPunct w:val="true"/>
        <w:spacing w:before="67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br w:type="column"/>
      </w:r>
      <w:r>
        <w:rPr>
          <w:rFonts w:cs="Times New Roman" w:ascii="Times New Roman" w:hAnsi="Times New Roman"/>
          <w:spacing w:val="-1"/>
          <w:sz w:val="28"/>
          <w:szCs w:val="28"/>
          <w:lang w:val="ru-RU"/>
        </w:rPr>
        <w:t>201</w:t>
      </w:r>
      <w:r>
        <w:rPr>
          <w:rFonts w:cs="Times New Roman" w:ascii="Times New Roman" w:hAnsi="Times New Roman"/>
          <w:sz w:val="28"/>
          <w:szCs w:val="28"/>
          <w:lang w:val="ru-RU"/>
        </w:rPr>
        <w:t>9г.</w:t>
      </w:r>
    </w:p>
    <w:p>
      <w:pPr>
        <w:pStyle w:val="Normal"/>
        <w:tabs>
          <w:tab w:val="clear" w:pos="708"/>
          <w:tab w:val="left" w:pos="1029" w:leader="none"/>
          <w:tab w:val="left" w:pos="3175" w:leader="none"/>
        </w:tabs>
        <w:overflowPunct w:val="true"/>
        <w:spacing w:before="67" w:after="0"/>
        <w:ind w:left="118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br w:type="column"/>
      </w:r>
      <w:r>
        <w:rPr>
          <w:rFonts w:cs="Times New Roman" w:ascii="Times New Roman" w:hAnsi="Times New Roman"/>
          <w:spacing w:val="-1"/>
          <w:sz w:val="28"/>
          <w:szCs w:val="28"/>
          <w:lang w:val="ru-RU"/>
        </w:rPr>
        <w:t>«</w:t>
      </w:r>
      <w:r>
        <w:rPr>
          <w:rFonts w:cs="Times New Roman" w:ascii="Times New Roman" w:hAnsi="Times New Roman"/>
          <w:spacing w:val="-1"/>
          <w:sz w:val="28"/>
          <w:szCs w:val="28"/>
          <w:u w:val="single"/>
          <w:lang w:val="ru-RU"/>
        </w:rPr>
        <w:tab/>
      </w:r>
      <w:r>
        <w:rPr>
          <w:rFonts w:cs="Times New Roman" w:ascii="Times New Roman" w:hAnsi="Times New Roman"/>
          <w:sz w:val="28"/>
          <w:szCs w:val="28"/>
          <w:lang w:val="ru-RU"/>
        </w:rPr>
        <w:t>»</w:t>
      </w:r>
      <w:r>
        <w:rPr>
          <w:rFonts w:cs="Times New Roman" w:ascii="Times New Roman" w:hAnsi="Times New Roman"/>
          <w:sz w:val="28"/>
          <w:szCs w:val="28"/>
          <w:u w:val="single"/>
          <w:lang w:val="ru-RU"/>
        </w:rPr>
        <w:tab/>
      </w:r>
    </w:p>
    <w:p>
      <w:pPr>
        <w:pStyle w:val="Normal"/>
        <w:overflowPunct w:val="true"/>
        <w:spacing w:before="67" w:after="0"/>
        <w:ind w:left="89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br w:type="column"/>
      </w:r>
      <w:r>
        <w:rPr>
          <w:rFonts w:cs="Times New Roman" w:ascii="Times New Roman" w:hAnsi="Times New Roman"/>
          <w:spacing w:val="-1"/>
          <w:sz w:val="28"/>
          <w:szCs w:val="28"/>
          <w:lang w:val="ru-RU"/>
        </w:rPr>
        <w:t>201</w:t>
      </w:r>
      <w:r>
        <w:rPr>
          <w:rFonts w:cs="Times New Roman" w:ascii="Times New Roman" w:hAnsi="Times New Roman"/>
          <w:sz w:val="28"/>
          <w:szCs w:val="28"/>
          <w:lang w:val="ru-RU"/>
        </w:rPr>
        <w:t>9г.</w:t>
      </w:r>
    </w:p>
    <w:p>
      <w:pPr>
        <w:sectPr>
          <w:type w:val="continuous"/>
          <w:pgSz w:w="11906" w:h="16838"/>
          <w:pgMar w:left="1300" w:right="1520" w:header="0" w:top="740" w:footer="720" w:bottom="777" w:gutter="0"/>
          <w:cols w:num="4" w:equalWidth="false" w:sep="false">
            <w:col w:w="3174" w:space="40"/>
            <w:col w:w="843" w:space="724"/>
            <w:col w:w="3174" w:space="40"/>
            <w:col w:w="1088"/>
          </w:cols>
          <w:formProt w:val="false"/>
          <w:textDirection w:val="lrTb"/>
          <w:docGrid w:type="default" w:linePitch="299" w:charSpace="4096"/>
        </w:sectPr>
      </w:pPr>
    </w:p>
    <w:p>
      <w:pPr>
        <w:pStyle w:val="Normal"/>
        <w:overflowPunct w:val="true"/>
        <w:spacing w:lineRule="exact" w:line="2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cs="Times New Roman" w:ascii="Times New Roman" w:hAnsi="Times New Roman"/>
          <w:sz w:val="44"/>
          <w:szCs w:val="44"/>
          <w:lang w:val="ru-RU"/>
        </w:rPr>
      </w:r>
    </w:p>
    <w:p>
      <w:pPr>
        <w:pStyle w:val="Normal"/>
        <w:overflowPunct w:val="true"/>
        <w:spacing w:lineRule="exact" w:line="200"/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cs="Times New Roman" w:ascii="Times New Roman" w:hAnsi="Times New Roman"/>
          <w:sz w:val="44"/>
          <w:szCs w:val="44"/>
          <w:lang w:val="ru-RU"/>
        </w:rPr>
      </w:r>
    </w:p>
    <w:p>
      <w:pPr>
        <w:pStyle w:val="Normal"/>
        <w:overflowPunct w:val="true"/>
        <w:spacing w:lineRule="exact" w:line="200"/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cs="Times New Roman" w:ascii="Times New Roman" w:hAnsi="Times New Roman"/>
          <w:sz w:val="44"/>
          <w:szCs w:val="44"/>
          <w:lang w:val="ru-RU"/>
        </w:rPr>
      </w:r>
    </w:p>
    <w:p>
      <w:pPr>
        <w:pStyle w:val="Normal"/>
        <w:overflowPunct w:val="true"/>
        <w:spacing w:lineRule="exact" w:line="200"/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cs="Times New Roman" w:ascii="Times New Roman" w:hAnsi="Times New Roman"/>
          <w:sz w:val="44"/>
          <w:szCs w:val="44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cs="Times New Roman" w:ascii="Times New Roman" w:hAnsi="Times New Roman"/>
          <w:sz w:val="44"/>
          <w:szCs w:val="44"/>
          <w:lang w:val="ru-RU"/>
        </w:rPr>
      </w:r>
    </w:p>
    <w:p>
      <w:pPr>
        <w:pStyle w:val="Normal"/>
        <w:ind w:right="29" w:hanging="0"/>
        <w:jc w:val="center"/>
        <w:rPr>
          <w:rFonts w:ascii="Times New Roman" w:hAnsi="Times New Roman" w:cs="Times New Roman"/>
          <w:b/>
          <w:b/>
          <w:sz w:val="44"/>
          <w:szCs w:val="44"/>
          <w:lang w:val="ru-RU"/>
        </w:rPr>
      </w:pPr>
      <w:r>
        <w:rPr>
          <w:rFonts w:cs="Times New Roman" w:ascii="Times New Roman" w:hAnsi="Times New Roman"/>
          <w:b/>
          <w:sz w:val="44"/>
          <w:szCs w:val="44"/>
          <w:lang w:val="ru-RU"/>
        </w:rPr>
        <w:t>Схема теплоснабжения городского поселения «Борзинское»</w:t>
      </w:r>
    </w:p>
    <w:p>
      <w:pPr>
        <w:pStyle w:val="Normal"/>
        <w:ind w:right="29" w:hanging="0"/>
        <w:jc w:val="center"/>
        <w:rPr>
          <w:rFonts w:ascii="Times New Roman" w:hAnsi="Times New Roman" w:cs="Times New Roman"/>
          <w:b/>
          <w:b/>
          <w:sz w:val="44"/>
          <w:szCs w:val="44"/>
          <w:lang w:val="ru-RU"/>
        </w:rPr>
      </w:pPr>
      <w:r>
        <w:rPr>
          <w:rFonts w:cs="Times New Roman" w:ascii="Times New Roman" w:hAnsi="Times New Roman"/>
          <w:b/>
          <w:sz w:val="44"/>
          <w:szCs w:val="44"/>
          <w:lang w:val="ru-RU"/>
        </w:rPr>
        <w:t>на 2020 г. и на период до 2030 г.</w:t>
      </w:r>
    </w:p>
    <w:p>
      <w:pPr>
        <w:pStyle w:val="Normal"/>
        <w:ind w:right="29" w:hanging="0"/>
        <w:jc w:val="center"/>
        <w:rPr>
          <w:rFonts w:ascii="Times New Roman" w:hAnsi="Times New Roman" w:cs="Times New Roman"/>
          <w:b/>
          <w:b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sz w:val="28"/>
          <w:szCs w:val="28"/>
          <w:lang w:val="ru-RU"/>
        </w:rPr>
      </w:r>
    </w:p>
    <w:p>
      <w:pPr>
        <w:pStyle w:val="Normal"/>
        <w:ind w:right="29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Утверждаемая часть</w:t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overflowPunct w:val="true"/>
        <w:spacing w:lineRule="exact" w:line="220" w:before="7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Красноярск,2019</w:t>
      </w:r>
    </w:p>
    <w:p>
      <w:pPr>
        <w:sectPr>
          <w:type w:val="continuous"/>
          <w:pgSz w:w="11906" w:h="16838"/>
          <w:pgMar w:left="1300" w:right="1520" w:header="0" w:top="740" w:footer="720" w:bottom="777" w:gutter="0"/>
          <w:formProt w:val="false"/>
          <w:textDirection w:val="lrTb"/>
          <w:docGrid w:type="default" w:linePitch="299" w:charSpace="4096"/>
        </w:sectPr>
      </w:pPr>
    </w:p>
    <w:p>
      <w:pPr>
        <w:pStyle w:val="TOCHeading"/>
        <w:spacing w:lineRule="auto" w:line="276"/>
        <w:jc w:val="center"/>
        <w:rPr/>
      </w:pPr>
      <w:r>
        <w:rPr>
          <w:rFonts w:cs="Times New Roman" w:ascii="Times New Roman" w:hAnsi="Times New Roman"/>
          <w:color w:val="000000" w:themeColor="text1"/>
          <w:sz w:val="40"/>
          <w:szCs w:val="40"/>
          <w:lang w:val="ru-RU"/>
        </w:rPr>
        <w:t>Оглавление</w:t>
      </w:r>
    </w:p>
    <w:p>
      <w:pPr>
        <w:sectPr>
          <w:footerReference w:type="default" r:id="rId4"/>
          <w:type w:val="continuous"/>
          <w:pgSz w:w="11906" w:h="16838"/>
          <w:pgMar w:left="1300" w:right="1520" w:header="0" w:top="740" w:footer="720" w:bottom="777" w:gutter="0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r>
            <w:fldChar w:fldCharType="begin"/>
          </w:r>
          <w:r>
            <w:rPr>
              <w:webHidden/>
              <w:rStyle w:val="Style26"/>
              <w:sz w:val="28"/>
              <w:b w:val="false"/>
              <w:szCs w:val="28"/>
              <w:vanish w:val="false"/>
            </w:rPr>
            <w:instrText> TOC \z \o "1-3" \u \h</w:instrText>
          </w:r>
          <w:r>
            <w:rPr>
              <w:webHidden/>
              <w:rStyle w:val="Style26"/>
              <w:sz w:val="28"/>
              <w:b w:val="false"/>
              <w:szCs w:val="28"/>
              <w:vanish w:val="false"/>
            </w:rPr>
            <w:fldChar w:fldCharType="separate"/>
          </w:r>
          <w:hyperlink r:id="rId5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Введение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…………………………………………………………………………….2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6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1 Показатели перспективного спроса на тепловую энергию (мощность) и теплоноситель в установленных границах территория поселения, городского округа..…………..…………………………………………………………………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10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7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2 Перспективные балансы располагаемой тепловой мощности источников тепловой энергии и тепловой нагрузки потребителей………..…..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21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8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3  Перспективные балансы теплоносителя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……………………………...26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9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………………………………..27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10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5 Предложения по строительству и реконструкции тепловых сетей…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.30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11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6. Перспективные топливные балансы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…………………………………..34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12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7 Инвестиции в строительство, реконструкцию и техническое перевооружение...………………………………………………………………….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35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13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8 Решение об определении единой теплоснабжающей организации…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.43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14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 9 Решения о распределении тепловой нагрузки между источниками тепловой энергии……………………………………………………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……………..46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15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10  Решения по бесхозяйным тепловым сетям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…………………………..47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16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11 Энергосбережение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……………………………………………………...49</w:t>
          </w:r>
        </w:p>
        <w:p>
          <w:p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17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Раздел 12 Основные требования по энергетической эффективности………......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51</w:t>
          </w:r>
        </w:p>
        <w:p>
          <w:pPr>
            <w:sectPr>
              <w:footerReference w:type="default" r:id="rId19"/>
              <w:type w:val="nextPage"/>
              <w:pgSz w:w="11906" w:h="16838"/>
              <w:pgMar w:left="1531" w:right="707" w:header="0" w:top="567" w:footer="175" w:bottom="1276" w:gutter="0"/>
              <w:pgNumType w:fmt="decimal"/>
              <w:formProt w:val="false"/>
              <w:textDirection w:val="lrTb"/>
              <w:docGrid w:type="default" w:linePitch="100" w:charSpace="4096"/>
            </w:sectPr>
            <w:pStyle w:val="113"/>
            <w:tabs>
              <w:tab w:val="left" w:pos="440" w:leader="none"/>
              <w:tab w:val="left" w:pos="708" w:leader="none"/>
              <w:tab w:val="right" w:pos="9322" w:leader="dot"/>
            </w:tabs>
            <w:spacing w:lineRule="auto" w:line="276"/>
            <w:rPr>
              <w:rFonts w:eastAsia="Times New Roman"/>
              <w:b w:val="false"/>
              <w:b w:val="false"/>
              <w:color w:val="000000" w:themeColor="text1"/>
              <w:sz w:val="28"/>
              <w:szCs w:val="28"/>
              <w:lang w:eastAsia="ru-RU"/>
            </w:rPr>
          </w:pPr>
          <w:hyperlink r:id="rId18">
            <w:r>
              <w:rPr>
                <w:webHidden/>
                <w:rStyle w:val="Style26"/>
                <w:b w:val="false"/>
                <w:vanish w:val="false"/>
                <w:color w:val="000000" w:themeColor="text1"/>
                <w:sz w:val="28"/>
                <w:szCs w:val="28"/>
              </w:rPr>
              <w:t>Заключение</w:t>
            </w:r>
          </w:hyperlink>
          <w:r>
            <w:rPr>
              <w:b w:val="false"/>
              <w:color w:val="000000" w:themeColor="text1"/>
              <w:sz w:val="28"/>
              <w:szCs w:val="28"/>
            </w:rPr>
            <w:t>……………………………………………………………………...….56</w:t>
          </w:r>
        </w:p>
        <w:p>
          <w:pPr>
            <w:pStyle w:val="111"/>
            <w:spacing w:lineRule="auto" w:line="276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bookmarkStart w:id="0" w:name="_Toc21181489"/>
          <w:bookmarkStart w:id="1" w:name="_Toc21181561"/>
          <w:bookmarkStart w:id="2" w:name="_Toc21181656"/>
          <w:bookmarkStart w:id="3" w:name="_Toc21181786"/>
          <w:bookmarkStart w:id="4" w:name="_Toc21182106"/>
          <w:bookmarkStart w:id="5" w:name="_Toc21182207"/>
          <w:bookmarkStart w:id="6" w:name="_Toc21182315"/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Введение</w:t>
          </w:r>
          <w:r>
            <w:rPr>
              <w:sz w:val="28"/>
              <w:szCs w:val="28"/>
              <w:rFonts w:cs="Times New Roman" w:ascii="Times New Roman" w:hAnsi="Times New Roman"/>
            </w:rPr>
            <w:fldChar w:fldCharType="end"/>
          </w:r>
          <w:bookmarkEnd w:id="0"/>
          <w:bookmarkEnd w:id="1"/>
          <w:bookmarkEnd w:id="2"/>
          <w:bookmarkEnd w:id="3"/>
          <w:bookmarkEnd w:id="4"/>
          <w:bookmarkEnd w:id="5"/>
          <w:bookmarkEnd w:id="6"/>
        </w:p>
        <w:p>
          <w:pPr>
            <w:sectPr>
              <w:footerReference w:type="default" r:id="rId20"/>
              <w:type w:val="nextPage"/>
              <w:pgSz w:w="11906" w:h="16838"/>
              <w:pgMar w:left="1531" w:right="707" w:header="0" w:top="567" w:footer="175" w:bottom="1276" w:gutter="0"/>
              <w:pgNumType w:fmt="decimal"/>
              <w:formProt w:val="false"/>
              <w:textDirection w:val="lrTb"/>
              <w:docGrid w:type="default" w:linePitch="100" w:charSpace="4096"/>
            </w:sectPr>
          </w:pP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Схема теплоснабжения городского поселения «Борзинское» Борзинского района выполнена на основании Федерального закона от 27.07.2010 года № 190-ФЗ «О теплоснабжении» в соответствии с решениями Генерального плана городского поселения «Борзинское».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Схема теплоснабжения поселения – документ, содержащий материалы по обоснованию эффективного и безопасного функционирования системы теплоснабжения, её развития с учётом правового регулирования в области энергосбережения и повышения энергетической эффективности.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Теплоснабжающая организация определяется схемой теплоснабжения.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Мероприятия по развитию системы теплоснабжения, предусмотренные настоящей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Схема теплоснабжения разработана на основе следующих принципов: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-обеспечение безопасности и надёжности теплоснабжения потребителей в соответствии с требованиями технических регламентов;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-обеспечение энергетической эффективности теплоснабжения и потребления тепловой энергии с учётом требований, установленных действующими законами;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-соблюдение баланса экономических интересов теплоснабжающих организаций и потребителей;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-обеспечение не дискриминационных и стабильных условий осуществления предпринимательской деятельности в сфере теплоснабжения;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-согласованности схемы теплоснабжения с иными программами развития сетей инженерно-технического обеспечения, а также с программой газификации;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</w:r>
        </w:p>
        <w:p>
          <w:pPr>
            <w:pStyle w:val="115"/>
            <w:spacing w:lineRule="auto" w:line="276"/>
            <w:ind w:right="28" w:firstLine="714"/>
            <w:jc w:val="center"/>
            <w:rPr>
              <w:rFonts w:ascii="Times New Roman" w:hAnsi="Times New Roman" w:cs="Times New Roman"/>
              <w:b/>
              <w:b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/>
              <w:color w:val="000000" w:themeColor="text1"/>
              <w:sz w:val="28"/>
              <w:szCs w:val="28"/>
              <w:lang w:val="ru-RU"/>
            </w:rPr>
            <w:t>Основные цели и задачи схемы теплоснабжения</w:t>
          </w:r>
        </w:p>
        <w:p>
          <w:pPr>
            <w:pStyle w:val="115"/>
            <w:spacing w:lineRule="auto" w:line="276"/>
            <w:ind w:left="284"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-определить возможность подключения к сетям теплоснабжения объекта капитального строительства и организации, при наличии технической возможности произвести такое подключение;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-повышение надёжности работы систем теплоснабжения в соответствии с нормативными  требованиями;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-минимизация затрат на теплоснабжение в расчёте на каждого потребителя в долгосрочной перспективе;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-обеспечение жителей городского поселения «Борзинское» тепловой энергией;</w:t>
          </w:r>
        </w:p>
        <w:p>
          <w:pPr>
            <w:pStyle w:val="115"/>
            <w:spacing w:lineRule="auto" w:line="276"/>
            <w:ind w:right="28" w:firstLine="714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-улучшение качества жизни на последующее десятилетие обусловливает необходимость  соответствующего  развития коммунальной инфраструктуры существующих объектов.</w:t>
          </w:r>
        </w:p>
        <w:p>
          <w:pPr>
            <w:pStyle w:val="115"/>
            <w:spacing w:lineRule="auto" w:line="276"/>
            <w:ind w:right="28" w:firstLine="714"/>
            <w:jc w:val="center"/>
            <w:rPr>
              <w:rFonts w:ascii="Times New Roman" w:hAnsi="Times New Roman" w:cs="Times New Roman"/>
              <w:b/>
              <w:b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/>
              <w:color w:val="000000" w:themeColor="text1"/>
              <w:sz w:val="28"/>
              <w:szCs w:val="28"/>
              <w:lang w:val="ru-RU"/>
            </w:rPr>
            <w:t>Основные положения по теплоснабжению</w:t>
          </w:r>
        </w:p>
        <w:p>
          <w:pPr>
            <w:pStyle w:val="115"/>
            <w:spacing w:lineRule="auto" w:line="276"/>
            <w:ind w:right="28" w:firstLine="714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На период 2020-2024 годы планируется реконструкция и модернизация объектов существующей системы теплоснабжения. На период 2020 – 2022 г.г. предусмотрена реконструкция центральной котельной с увеличением её производительности до 45 Гкал/час для теплоснабжения объектов нового строительства первой очереди  жилых и общественных зданий, строительство которых предусмотрено в центральной части территории гор. Борзя.</w:t>
          </w:r>
        </w:p>
        <w:p>
          <w:pPr>
            <w:pStyle w:val="115"/>
            <w:spacing w:lineRule="auto" w:line="276"/>
            <w:ind w:right="28" w:firstLine="714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В период 2021-2025 годов предусмотрено строительство и ввод в эксплуатацию Восточной котельной (ул. Торговая) производительностью 70Гкал/час, с обеспечением тепловой энергией жилых домов и объектов социальной инфраструктуры восточной части г. Борзя и новой малоэтажной жилой застройки.</w:t>
          </w:r>
        </w:p>
        <w:p>
          <w:pPr>
            <w:pStyle w:val="115"/>
            <w:spacing w:lineRule="auto" w:line="276"/>
            <w:ind w:right="28" w:firstLine="714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 xml:space="preserve">В период 2024-2028 годов планируется строительство и ввод в эксплуатацию второго блока Западной котельной мкр «Борзя-2» (севернее ул.Победы) с обеспечением тепловой энергией 50 Гкал/час объектов новой среднеэтажной  жилой застройки с количеством этажей не более пяти. </w:t>
          </w:r>
          <w:r>
            <w:br w:type="page"/>
          </w:r>
        </w:p>
        <w:p>
          <w:pPr>
            <w:pStyle w:val="115"/>
            <w:spacing w:lineRule="auto" w:line="276"/>
            <w:ind w:right="28" w:firstLine="714"/>
            <w:jc w:val="center"/>
            <w:rPr>
              <w:rFonts w:ascii="Times New Roman" w:hAnsi="Times New Roman" w:cs="Times New Roman"/>
              <w:b/>
              <w:b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/>
              <w:color w:val="000000" w:themeColor="text1"/>
              <w:sz w:val="28"/>
              <w:szCs w:val="28"/>
              <w:lang w:val="ru-RU"/>
            </w:rPr>
            <w:t>Краткие сведения о городском поселении «Борзинское»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Городское поселение «Борзинское» расположено в степной зоне, слабохолмистой местности, в широкой долине реки Борзя. Река шириной 20 м протекает в направлении с востока-северо-востока на запад – юго-запад. Река Борзя имеет спокойное течение и низкие пойменные берега. В засушливые годы она почти полностью пересыхает, в период ливней выходит из берегов. Древесная растительность отсутствует.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Почва в поселении каштановая, солонцеватая, песчаная сильно каменистая.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Основной чертой климата г. Борзи является резкая континентальность. Зима малоснежная и суровая, лето умеренно- тёплое. Амплитуда средних месячных температур составляет 46,7˚С. Средняя годовая температура воздуха минус 2,6˚С. самым холодным месяцем является январь. Средняя месячная температура воздуха в январе равна минус 27,3˚С, самый тёплый месяц – июль, средняя температура в июле составляет 19,4˚С.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Наибольшую повторяемость за год имеют ветры востоко-северо-восточного направления (16 %), северо-восточного (11 %) и северо-западного (11 %) направлений. Наименьшую повторяемость имеют ветры южной четверти (2-3 %). Наибольшая повторяемость (8-9 %) с апреля по май.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Средняя месячная скорость ветра колеблется от 1,9 до 4,7 в течение года, увеличение средней месячной скорости ветра до 4,6-4,7 м/с наблюдается в апреле-мае.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Наибольшую повторяемость за год (66,9 %) имеют штили и слабые ветры со скоростью 1-3 м/с.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Относительная влажность воздуха, характеризующая степень насыщения воздуха водяным паром, меняется в течение года от 48 % до 79 %. Среднегодовое значение относительной влажности воздуха – 68 %. Наибольших значений она достигает зимой (79 %). Самая низкая относительная влажность наблюдается весной, её среднемесячное значение в апреле составляет 53 %, в мае – 48 %.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Среднегодовая сумма осадков составляет 28,3 мм. Большая часть осадков приходится на тёплый период года. С апреля по октябрь выпадает 96 % годовой суммы осадков.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Городское поселение «Борзинское» является крупным транспортным узлом, сосредоточенном на стыке железнодорожных веток Карымская – Забайкальск-КНР и Борзя-Соловьёвск –МНР.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Городское поселение «Борзинское» имеет наиболее благоприятные условия как центр формируемой групповой и локальной систем расселения, сопряжённых с центрами межрайонных и районных систем расселения. В проектной системе расселения на уровне межрайонного центра, как центр периодической системы межселенного культурно-бытового обслуживания населения с элементами эпизодического обслуживания.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Промышленность города. В настоящее время в отраслевой специализации города превалируют отрасли агропромышленного комплекса: пищевая промышленность и отрасли обслуживания (лёгкая и местная промышленность).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Общая площадь земель муниципального образования – 18255 га, плотность населения – 1,7 человек/га, общая площадь застроенных земель – 3832 га.</w:t>
          </w:r>
        </w:p>
        <w:p>
          <w:pPr>
            <w:pStyle w:val="Style39"/>
            <w:spacing w:lineRule="auto" w:line="276"/>
            <w:ind w:firstLine="567"/>
            <w:jc w:val="both"/>
            <w:rPr>
              <w:rFonts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/>
              <w:color w:val="000000" w:themeColor="text1"/>
              <w:sz w:val="28"/>
              <w:szCs w:val="28"/>
              <w:lang w:val="ru-RU"/>
            </w:rPr>
            <w:t>В границах населенного пункта выделены функциональные зоны для  реализации жилищной программы в городском поселении «Борзинское».</w:t>
          </w:r>
        </w:p>
        <w:p>
          <w:pPr>
            <w:pStyle w:val="120"/>
            <w:widowControl w:val="false"/>
            <w:spacing w:lineRule="auto" w:line="276"/>
            <w:ind w:firstLine="567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</w:rPr>
            <w:t>В северо-восточной части поселения предполагается размещение малоэтажных жилых домов коттеджного типа, среднеэтажная жилая застройка, а также объекты  образования, просвещения, здравоохранения, делового, общественного и коммерческого назначения с полным инженерным обеспечением.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jc w:val="both"/>
            <w:rPr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В западной части  территории г. Борзя планируется размещение нового микрорайона среднеэтажной застройки, с обеспечением микрорайона социальной, инженерной и транспортной инфраструктурами.</w:t>
          </w:r>
        </w:p>
        <w:p>
          <w:pPr>
            <w:pStyle w:val="Normal"/>
            <w:tabs>
              <w:tab w:val="clear" w:pos="708"/>
              <w:tab w:val="left" w:pos="-284" w:leader="none"/>
            </w:tabs>
            <w:spacing w:lineRule="auto" w:line="276"/>
            <w:ind w:firstLine="567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</w:r>
        </w:p>
        <w:p>
          <w:pPr>
            <w:pStyle w:val="Style28"/>
            <w:spacing w:lineRule="auto" w:line="276"/>
            <w:ind w:firstLine="567"/>
            <w:jc w:val="center"/>
            <w:rPr>
              <w:rFonts w:ascii="Times New Roman" w:hAnsi="Times New Roman" w:cs="Times New Roman"/>
              <w:b/>
              <w:b/>
              <w:color w:val="000000" w:themeColor="text1"/>
              <w:lang w:val="ru-RU"/>
            </w:rPr>
          </w:pPr>
          <w:r>
            <w:rPr>
              <w:rFonts w:cs="Times New Roman" w:ascii="Times New Roman" w:hAnsi="Times New Roman"/>
              <w:b/>
              <w:color w:val="000000" w:themeColor="text1"/>
              <w:lang w:val="ru-RU"/>
            </w:rPr>
            <w:t>Учреждения и предприятия обслуживания населения</w:t>
          </w:r>
        </w:p>
        <w:p>
          <w:pPr>
            <w:pStyle w:val="Style39"/>
            <w:spacing w:lineRule="auto" w:line="276"/>
            <w:ind w:firstLine="900"/>
            <w:jc w:val="both"/>
            <w:rPr>
              <w:lang w:val="ru-RU"/>
            </w:rPr>
          </w:pPr>
          <w:r>
            <w:rPr>
              <w:rFonts w:cs="Times New Roman"/>
              <w:color w:val="000000" w:themeColor="text1"/>
              <w:sz w:val="28"/>
              <w:szCs w:val="28"/>
              <w:lang w:val="ru-RU"/>
            </w:rPr>
            <w:t>Городское поселение в настоящее время имеет ограниченное число объектов социального обслуживания. В поселении имеется потребность в строительстве  жилых домов котеджного типа, объектов образования, здравохранения.</w:t>
          </w:r>
        </w:p>
        <w:p>
          <w:pPr>
            <w:pStyle w:val="Style39"/>
            <w:spacing w:lineRule="auto" w:line="276"/>
            <w:ind w:firstLine="900"/>
            <w:jc w:val="both"/>
            <w:rPr>
              <w:rFonts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/>
              <w:color w:val="000000" w:themeColor="text1"/>
              <w:sz w:val="28"/>
              <w:szCs w:val="28"/>
              <w:lang w:val="ru-RU"/>
            </w:rPr>
            <w:t xml:space="preserve">Чтобы обеспечить социальное развитие, следует путем создания новых объектов социальной сферы и усовершенствования существующих, а также стимулирования индивидуального жилищного строительства, существенно повысить качество жизни местного населения. </w:t>
          </w:r>
        </w:p>
        <w:p>
          <w:pPr>
            <w:pStyle w:val="Style39"/>
            <w:spacing w:lineRule="auto" w:line="276"/>
            <w:ind w:firstLine="900"/>
            <w:jc w:val="both"/>
            <w:rPr>
              <w:rFonts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/>
              <w:color w:val="000000" w:themeColor="text1"/>
              <w:sz w:val="28"/>
              <w:szCs w:val="28"/>
              <w:lang w:val="ru-RU"/>
            </w:rPr>
            <w:t>Для определения путей социального развития следует определить основные стратегические направления и приоритеты социального развития городского поселения.</w:t>
          </w:r>
        </w:p>
        <w:p>
          <w:pPr>
            <w:pStyle w:val="Style39"/>
            <w:spacing w:lineRule="auto" w:line="276"/>
            <w:ind w:firstLine="900"/>
            <w:jc w:val="both"/>
            <w:rPr>
              <w:rFonts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/>
              <w:color w:val="000000" w:themeColor="text1"/>
              <w:sz w:val="28"/>
              <w:szCs w:val="28"/>
              <w:lang w:val="ru-RU"/>
            </w:rPr>
            <w:t>В проекте произведен расчёт необходимого количества объектов социальной инфраструктуры (в приложении № 1).</w:t>
          </w:r>
        </w:p>
        <w:p>
          <w:pPr>
            <w:pStyle w:val="Style39"/>
            <w:spacing w:lineRule="auto" w:line="276"/>
            <w:ind w:firstLine="900"/>
            <w:jc w:val="both"/>
            <w:rPr>
              <w:rFonts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/>
              <w:color w:val="000000" w:themeColor="text1"/>
              <w:sz w:val="28"/>
              <w:szCs w:val="28"/>
              <w:lang w:val="ru-RU"/>
            </w:rPr>
          </w:r>
        </w:p>
        <w:p>
          <w:pPr>
            <w:pStyle w:val="Normal"/>
            <w:spacing w:lineRule="auto" w:line="276"/>
            <w:ind w:firstLine="900"/>
            <w:jc w:val="center"/>
            <w:rPr>
              <w:rFonts w:ascii="Times New Roman" w:hAnsi="Times New Roman" w:cs="Times New Roman"/>
              <w:b/>
              <w:b/>
              <w:bCs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/>
              <w:bCs/>
              <w:color w:val="000000" w:themeColor="text1"/>
              <w:sz w:val="28"/>
              <w:szCs w:val="28"/>
              <w:lang w:val="ru-RU"/>
            </w:rPr>
            <w:t>Основные стратегические направления и приоритеты</w:t>
          </w:r>
        </w:p>
        <w:p>
          <w:pPr>
            <w:pStyle w:val="Normal"/>
            <w:spacing w:lineRule="auto" w:line="276"/>
            <w:ind w:firstLine="900"/>
            <w:jc w:val="center"/>
            <w:rPr>
              <w:rFonts w:ascii="Times New Roman" w:hAnsi="Times New Roman" w:cs="Times New Roman"/>
              <w:b/>
              <w:b/>
              <w:bCs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/>
              <w:bCs/>
              <w:color w:val="000000" w:themeColor="text1"/>
              <w:sz w:val="28"/>
              <w:szCs w:val="28"/>
              <w:lang w:val="ru-RU"/>
            </w:rPr>
            <w:t>социального развития</w:t>
          </w:r>
        </w:p>
        <w:p>
          <w:pPr>
            <w:pStyle w:val="Normal"/>
            <w:spacing w:lineRule="auto" w:line="276"/>
            <w:ind w:firstLine="900"/>
            <w:jc w:val="center"/>
            <w:rPr>
              <w:rFonts w:ascii="Times New Roman" w:hAnsi="Times New Roman" w:cs="Times New Roman"/>
              <w:b/>
              <w:b/>
              <w:bCs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/>
              <w:bCs/>
              <w:color w:val="000000" w:themeColor="text1"/>
              <w:sz w:val="28"/>
              <w:szCs w:val="28"/>
              <w:lang w:val="ru-RU"/>
            </w:rPr>
          </w:r>
        </w:p>
        <w:p>
          <w:pPr>
            <w:pStyle w:val="Normal"/>
            <w:spacing w:lineRule="auto" w:line="276"/>
            <w:ind w:firstLine="900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 xml:space="preserve">1.Поселение рассматривается как часть системы расселения муниципального района, поэтому его развитие строится с учетом расширения и усиления связей с соседними поселениями. Опорным центром системы расселения в Борзинском районе является город Борзя. </w:t>
          </w:r>
        </w:p>
        <w:p>
          <w:pPr>
            <w:pStyle w:val="Normal"/>
            <w:spacing w:lineRule="auto" w:line="276"/>
            <w:ind w:firstLine="900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bookmarkStart w:id="7" w:name="__DdeLink__10072_4273143081"/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 xml:space="preserve">Прирост населения за счет увеличения трудовой миграции ожидается в связи с планируемым развитием территории поселения. Оптимистический прогноз показывает, что численность населения городского поселения может </w:t>
          </w:r>
          <w:bookmarkEnd w:id="7"/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увеличиться за счет привлечения трудоспособного населения за счёт строительства (в промзоне) градообразующих предприятий.</w:t>
          </w:r>
        </w:p>
        <w:p>
          <w:pPr>
            <w:pStyle w:val="Normal"/>
            <w:spacing w:lineRule="auto" w:line="276"/>
            <w:ind w:firstLine="900"/>
            <w:jc w:val="both"/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Cs/>
              <w:color w:val="000000" w:themeColor="text1"/>
              <w:sz w:val="28"/>
              <w:szCs w:val="28"/>
              <w:lang w:val="ru-RU"/>
            </w:rPr>
            <w:t>Особое внимание следует уделить молодежи – она является основой будущего развития поселения. Следует создать больше возможностей для культурного досуга молодежи занятий спортом и для самореализации молодого поколения внутри поселения, оказывать больше содействия развитию позитивных молодежных инициатив. Важное значение для развития поселения имеет поддержка всех форм начального и среднего профессионального образования для обеспечения кадрами развивающейся экономики поселения.</w:t>
          </w:r>
        </w:p>
        <w:p>
          <w:pPr>
            <w:pStyle w:val="Normal"/>
            <w:spacing w:lineRule="auto" w:line="276"/>
            <w:ind w:firstLine="900"/>
            <w:jc w:val="both"/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Cs/>
              <w:color w:val="000000" w:themeColor="text1"/>
              <w:sz w:val="28"/>
              <w:szCs w:val="28"/>
              <w:lang w:val="ru-RU"/>
            </w:rPr>
            <w:t>Развитие социальной инфраструктуры должно осуществляться в соответствии с вариантами территориального развития, приближающими центры оказания социальных услуг к населенным местам и обособленным местам приложения труда.</w:t>
          </w:r>
        </w:p>
        <w:p>
          <w:pPr>
            <w:pStyle w:val="Normal"/>
            <w:spacing w:lineRule="auto" w:line="276"/>
            <w:ind w:firstLine="900"/>
            <w:jc w:val="both"/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Cs/>
              <w:color w:val="000000" w:themeColor="text1"/>
              <w:sz w:val="28"/>
              <w:szCs w:val="28"/>
              <w:lang w:val="ru-RU"/>
            </w:rPr>
            <w:t xml:space="preserve">Строительство жилых домов является наиболее перспективным социальным проектом, повышающим уровень жизни населения. Это позволяет решить и другую социальную проблему – закрепление трудоспособного населения и сокращение трудовой миграции. </w:t>
          </w:r>
        </w:p>
        <w:p>
          <w:pPr>
            <w:pStyle w:val="313"/>
            <w:spacing w:lineRule="auto" w:line="276"/>
            <w:ind w:left="283" w:hanging="0"/>
            <w:rPr>
              <w:rFonts w:ascii="Times New Roman" w:hAnsi="Times New Roman" w:cs="Times New Roman"/>
              <w:b/>
              <w:b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b/>
              <w:color w:val="000000" w:themeColor="text1"/>
              <w:sz w:val="28"/>
              <w:szCs w:val="28"/>
              <w:lang w:val="ru-RU"/>
            </w:rPr>
          </w:r>
        </w:p>
        <w:p>
          <w:pPr>
            <w:pStyle w:val="Normal"/>
            <w:spacing w:lineRule="auto" w:line="276"/>
            <w:ind w:right="28" w:firstLine="1134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>
            <w:rPr>
              <w:rFonts w:cs="Times New Roman" w:ascii="Times New Roman" w:hAnsi="Times New Roman"/>
              <w:color w:val="000000" w:themeColor="text1"/>
              <w:sz w:val="28"/>
              <w:szCs w:val="28"/>
              <w:lang w:val="ru-RU"/>
            </w:rPr>
            <w:t>2. Схема теплоснабжения городского поселения «Борзинское» разрабатывается в целях удовлетворения спроса на тепловую энергию (мощность) и теплоноситель, для обеспечения надёжного теплоснабжения наиболее экономичным способом при минимальном воздействии на окружающую среду, а также для экономического стимулирования развития систем теплоснабжения и внедрения энергосберегающих технологий.</w:t>
          </w:r>
        </w:p>
        <w:p>
          <w:pPr>
            <w:sectPr>
              <w:type w:val="continuous"/>
              <w:pgSz w:w="11906" w:h="16838"/>
              <w:pgMar w:left="1531" w:right="707" w:header="0" w:top="567" w:footer="175" w:bottom="1276" w:gutter="0"/>
              <w:formProt w:val="false"/>
              <w:textDirection w:val="lrTb"/>
              <w:docGrid w:type="default" w:linePitch="100" w:charSpace="4096"/>
            </w:sectPr>
          </w:pPr>
        </w:p>
      </w:sdtContent>
    </w:sdt>
    <w:p>
      <w:pPr>
        <w:pStyle w:val="Normal"/>
        <w:spacing w:lineRule="auto" w:line="276"/>
        <w:ind w:right="28" w:firstLine="72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«Схема теплоснабжения»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состоит из разделов, разрабатываемых в соответствии с пунктами 4-17 настоящего документа и обосновывающих материалов к схемам теплоснабжения, разрабатываемых, на основании Постановления Правительства Российской Федерации от 22 февраля 2012 г.       ( № 154) , в соответствии с методическими рекомендациями.</w:t>
      </w:r>
    </w:p>
    <w:p>
      <w:pPr>
        <w:pStyle w:val="Normal"/>
        <w:spacing w:lineRule="auto" w:line="276"/>
        <w:ind w:left="1429" w:right="28" w:hanging="0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left="142" w:right="28" w:firstLine="69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схему теплоснабжения включены следующие разделы: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1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«Показатели перспективного спроса на тепловую энергию (мощность) и теплоноситель в установленных границах территории поселения, городского округа»;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2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«Перспективные балансы тепловой мощности источников тепловой энергии и тепловой нагрузки потребителей»;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3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«Перспективные балансы теплоносителя»;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4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«Предложения по строительству, реконструкции и техническому перевооружению источников тепловой энергии»;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5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«Предложения по строительству и реконструкции тепловых сетей»;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6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«Перспективные топливные балансы»;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7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«Инвестиции в строительство, реконструкцию и техническое перевооружение»;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8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«Решение об определении единой теплоснабжающей организации (организаций)»;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9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«Решения о распределении тепловой нагрузки между источниками тепловой энергии»;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10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«Решения по бесхозяйным тепловым сетям»;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11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«Энергосбережение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12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«Основные принципы по энергетической эффективности»</w:t>
      </w:r>
    </w:p>
    <w:p>
      <w:pPr>
        <w:sectPr>
          <w:footerReference w:type="default" r:id="rId21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ind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Заключение</w:t>
      </w:r>
    </w:p>
    <w:p>
      <w:pPr>
        <w:pStyle w:val="111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8" w:name="_Toc21181490"/>
      <w:bookmarkStart w:id="9" w:name="_Toc21181562"/>
      <w:bookmarkStart w:id="10" w:name="_Toc21181657"/>
      <w:bookmarkStart w:id="11" w:name="_Toc21181787"/>
      <w:bookmarkStart w:id="12" w:name="_Toc21182107"/>
      <w:bookmarkStart w:id="13" w:name="_Toc21182208"/>
      <w:bookmarkStart w:id="14" w:name="_Toc21182316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1. «Показатели перспективного спроса на тепловую энергию (мощность) и теплоноситель в установленных границах территория поселения, городского округа» содержит:</w:t>
      </w:r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1.1.1. Площадь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 5- летние периоды.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left="1069"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Таблица 1.1. Основные данные существующей жилой застройки</w:t>
      </w:r>
    </w:p>
    <w:tbl>
      <w:tblPr>
        <w:tblW w:w="8702" w:type="dxa"/>
        <w:jc w:val="left"/>
        <w:tblInd w:w="24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37"/>
        <w:gridCol w:w="3543"/>
        <w:gridCol w:w="2203"/>
        <w:gridCol w:w="2218"/>
      </w:tblGrid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Ед. изм.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В целом по насел. пункту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Общая площадь жилых помещений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417,4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Обеспеченность жилого фонда инженерным оборудованием: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  % от общего жилого фонда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-водопроводом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59,3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-канализацией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-теплоснабжением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58,6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-горячим водоснабжением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36,1</w:t>
            </w:r>
          </w:p>
        </w:tc>
      </w:tr>
    </w:tbl>
    <w:p>
      <w:pPr>
        <w:pStyle w:val="Normal"/>
        <w:spacing w:lineRule="auto" w:line="276"/>
        <w:ind w:left="1069" w:right="28" w:hanging="0"/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  <w:lang w:eastAsia="ar-SA"/>
        </w:rPr>
      </w:r>
    </w:p>
    <w:p>
      <w:pPr>
        <w:pStyle w:val="Normal"/>
        <w:spacing w:lineRule="auto" w:line="276"/>
        <w:ind w:left="1069" w:right="28" w:hanging="0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1.2.Площади строительных фондов, подключённых к существующей системе теплоснабжения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Площадь строительных фондов, подключённых к существующей системе теплоснабжения представлена в табл.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1.2.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76"/>
        <w:ind w:left="142" w:right="28" w:firstLine="927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Табл. 1.2. Таблица показателей по новой застройке г.Борзя</w:t>
      </w:r>
    </w:p>
    <w:tbl>
      <w:tblPr>
        <w:tblW w:w="8930" w:type="dxa"/>
        <w:jc w:val="left"/>
        <w:tblInd w:w="137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33"/>
        <w:gridCol w:w="2432"/>
        <w:gridCol w:w="2434"/>
        <w:gridCol w:w="1630"/>
      </w:tblGrid>
      <w:tr>
        <w:trPr/>
        <w:tc>
          <w:tcPr>
            <w:tcW w:w="89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76"/>
              <w:ind w:left="709"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Показатели многоэтажной застройки в центре г.Борзи</w:t>
            </w:r>
          </w:p>
        </w:tc>
      </w:tr>
      <w:tr>
        <w:trPr/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Площадь (га)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Кол-во чел.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Кол-во квартир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Площадь жилья (м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>
        <w:trPr/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7160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2386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157520</w:t>
            </w:r>
          </w:p>
        </w:tc>
      </w:tr>
      <w:tr>
        <w:trPr/>
        <w:tc>
          <w:tcPr>
            <w:tcW w:w="89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76"/>
              <w:ind w:left="709"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Показатели малоэтажной застройки в восточной части г. Борзи</w:t>
            </w:r>
          </w:p>
        </w:tc>
      </w:tr>
      <w:tr>
        <w:trPr/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Площадь (га)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Кол-во чел.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Кол-во квартир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Площадь жилья (м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>
        <w:trPr>
          <w:trHeight w:val="187" w:hRule="atLeast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155,9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9354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3118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205788</w:t>
            </w:r>
          </w:p>
        </w:tc>
      </w:tr>
    </w:tbl>
    <w:p>
      <w:pPr>
        <w:pStyle w:val="Normal"/>
        <w:spacing w:lineRule="auto" w:line="276"/>
        <w:ind w:left="142" w:right="28" w:firstLine="927"/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  <w:lang w:eastAsia="ar-SA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  <w:lang w:eastAsia="ar-SA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  <w:lang w:eastAsia="ar-SA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  <w:lang w:eastAsia="ar-SA"/>
        </w:rPr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Табл. 1.3. Объёмы выработки тепловой энергии (мощности) за 2018 год</w:t>
      </w:r>
    </w:p>
    <w:tbl>
      <w:tblPr>
        <w:tblW w:w="9199" w:type="dxa"/>
        <w:jc w:val="left"/>
        <w:tblInd w:w="0" w:type="dxa"/>
        <w:tblCellMar>
          <w:top w:w="0" w:type="dxa"/>
          <w:left w:w="15" w:type="dxa"/>
          <w:bottom w:w="0" w:type="dxa"/>
          <w:right w:w="15" w:type="dxa"/>
        </w:tblCellMar>
        <w:tblLook w:firstRow="1" w:noVBand="0" w:lastRow="1" w:firstColumn="1" w:lastColumn="1" w:noHBand="0" w:val="01e0"/>
      </w:tblPr>
      <w:tblGrid>
        <w:gridCol w:w="722"/>
        <w:gridCol w:w="3086"/>
        <w:gridCol w:w="1483"/>
        <w:gridCol w:w="1846"/>
        <w:gridCol w:w="2062"/>
      </w:tblGrid>
      <w:tr>
        <w:trPr>
          <w:trHeight w:val="1128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Центральная котельная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Модульная котельная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Котельная "Госпиталь"</w:t>
            </w:r>
          </w:p>
        </w:tc>
      </w:tr>
      <w:tr>
        <w:trPr>
          <w:trHeight w:val="458" w:hRule="atLeast"/>
        </w:trPr>
        <w:tc>
          <w:tcPr>
            <w:tcW w:w="7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Натуральные показатели, Гкал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Выработка тепловой энергии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63974,479*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26704,519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20207,773</w:t>
            </w:r>
          </w:p>
        </w:tc>
      </w:tr>
      <w:tr>
        <w:trPr>
          <w:trHeight w:val="684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Расход тепла на собственные нужды котельной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2 163,388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903,051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683,355</w:t>
            </w:r>
          </w:p>
        </w:tc>
      </w:tr>
      <w:tr>
        <w:trPr>
          <w:trHeight w:val="316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Потери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10370,114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5777,581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1930,092</w:t>
            </w:r>
          </w:p>
        </w:tc>
      </w:tr>
      <w:tr>
        <w:trPr>
          <w:trHeight w:val="431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Полезный отпуск по группам потребителей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69978,575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18615,722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16918,376</w:t>
            </w:r>
          </w:p>
        </w:tc>
      </w:tr>
      <w:tr>
        <w:trPr>
          <w:trHeight w:val="614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 т.ч. на собственное производственное потребление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129,401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49,671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Населению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52394,423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15430,327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8467,865</w:t>
            </w:r>
          </w:p>
        </w:tc>
      </w:tr>
      <w:tr>
        <w:trPr>
          <w:trHeight w:val="244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5.2.1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на отопление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51095,106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15338,552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8309,932</w:t>
            </w:r>
          </w:p>
        </w:tc>
      </w:tr>
      <w:tr>
        <w:trPr>
          <w:trHeight w:val="489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5.2.1.1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Норматив на отопление, Гкал/м2/мес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0,036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0,036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0,036</w:t>
            </w:r>
          </w:p>
        </w:tc>
      </w:tr>
      <w:tr>
        <w:trPr>
          <w:trHeight w:val="395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5.2.2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На горячее водоснабжение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1299,317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91,775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157,933</w:t>
            </w:r>
          </w:p>
        </w:tc>
      </w:tr>
      <w:tr>
        <w:trPr>
          <w:trHeight w:val="438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5.2.2.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Норматив на ГВС, Гкал/чел/мес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Бюджетным потребителям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11366,899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2931,761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3888,119</w:t>
            </w:r>
          </w:p>
        </w:tc>
      </w:tr>
      <w:tr>
        <w:trPr>
          <w:trHeight w:val="220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5.3.1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 т.ч. отопление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11351,834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2931,761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3844,847</w:t>
            </w:r>
          </w:p>
        </w:tc>
      </w:tr>
      <w:tr>
        <w:trPr>
          <w:trHeight w:val="244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5.3.2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Горячее водоснабжение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15,065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43,272</w:t>
            </w:r>
          </w:p>
        </w:tc>
      </w:tr>
      <w:tr>
        <w:trPr>
          <w:trHeight w:val="229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Прочим потребителям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6087,852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203,963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4562,392</w:t>
            </w:r>
          </w:p>
        </w:tc>
      </w:tr>
      <w:tr>
        <w:trPr>
          <w:trHeight w:val="244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5.4.1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 т .ч. отопление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6042,010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203,963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4562,392</w:t>
            </w:r>
          </w:p>
        </w:tc>
      </w:tr>
      <w:tr>
        <w:trPr>
          <w:trHeight w:val="438" w:hRule="atLeast"/>
        </w:trPr>
        <w:tc>
          <w:tcPr>
            <w:tcW w:w="7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5.4.2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на горячее водоснабжение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45,842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>
      <w:pPr>
        <w:sectPr>
          <w:footerReference w:type="default" r:id="rId22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Табл. 1.4 План жилищного строительства городского поселения «Борзинское» (тыс. м</w:t>
      </w:r>
      <w:r>
        <w:rPr>
          <w:rFonts w:cs="Times New Roman" w:ascii="Times New Roman" w:hAnsi="Times New Roman"/>
          <w:color w:val="000000" w:themeColor="text1"/>
          <w:sz w:val="28"/>
          <w:szCs w:val="28"/>
          <w:vertAlign w:val="superscript"/>
          <w:lang w:val="ru-RU"/>
        </w:rPr>
        <w:t>2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)</w:t>
      </w:r>
    </w:p>
    <w:tbl>
      <w:tblPr>
        <w:tblW w:w="10022" w:type="dxa"/>
        <w:jc w:val="left"/>
        <w:tblInd w:w="-181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44"/>
        <w:gridCol w:w="801"/>
        <w:gridCol w:w="1378"/>
        <w:gridCol w:w="1207"/>
        <w:gridCol w:w="1253"/>
        <w:gridCol w:w="1253"/>
        <w:gridCol w:w="1747"/>
        <w:gridCol w:w="720"/>
        <w:gridCol w:w="1018"/>
      </w:tblGrid>
      <w:tr>
        <w:trPr/>
        <w:tc>
          <w:tcPr>
            <w:tcW w:w="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Числен-ность человек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Тип застройки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Потребность в новой застройке в м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vertAlign w:val="superscript"/>
                <w:lang w:val="ru-RU"/>
              </w:rPr>
              <w:t>2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общей площади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В том числе на период 2016-2020 г.г.</w:t>
            </w:r>
          </w:p>
        </w:tc>
        <w:tc>
          <w:tcPr>
            <w:tcW w:w="47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В том числе на период 2021-2030 г.г.</w:t>
            </w:r>
          </w:p>
        </w:tc>
      </w:tr>
      <w:tr>
        <w:trPr/>
        <w:tc>
          <w:tcPr>
            <w:tcW w:w="6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8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3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2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Центральная часть г. Борзя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Центральная часть г.Борзя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Западная часть</w:t>
            </w:r>
          </w:p>
        </w:tc>
        <w:tc>
          <w:tcPr>
            <w:tcW w:w="1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Восточная часть г. Борзя</w:t>
            </w:r>
          </w:p>
        </w:tc>
      </w:tr>
      <w:tr>
        <w:trPr/>
        <w:tc>
          <w:tcPr>
            <w:tcW w:w="6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8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3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2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ул.Промышленная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Борзя-2</w:t>
            </w:r>
          </w:p>
        </w:tc>
        <w:tc>
          <w:tcPr>
            <w:tcW w:w="10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18900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Высокоэтажная застройка                     (8-9 эт.)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/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/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7160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Многоэтажная застройка                     (5-7 эт.)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/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/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2298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Среднеэтажная застройка                     (3-4 эт.)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50,556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19,256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31,300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9354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Малоэтажная застройка                     (1-2 эт.)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205,788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205,788</w:t>
            </w:r>
          </w:p>
        </w:tc>
      </w:tr>
      <w:tr>
        <w:trPr>
          <w:trHeight w:val="673" w:hRule="atLeast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829,664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19,256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157,520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31,300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415,800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205,788</w:t>
            </w:r>
          </w:p>
        </w:tc>
      </w:tr>
    </w:tbl>
    <w:p>
      <w:pPr>
        <w:pStyle w:val="Normal"/>
        <w:spacing w:lineRule="auto" w:line="276"/>
        <w:ind w:left="1069" w:right="28" w:hanging="142"/>
        <w:rPr>
          <w:rFonts w:ascii="Times New Roman" w:hAnsi="Times New Roman" w:eastAsia="Calibri" w:cs="Times New Roman"/>
          <w:color w:val="000000" w:themeColor="text1"/>
          <w:sz w:val="28"/>
          <w:szCs w:val="28"/>
          <w:highlight w:val="yellow"/>
          <w:lang w:eastAsia="ar-SA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  <w:highlight w:val="yellow"/>
          <w:lang w:eastAsia="ar-SA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Прогнозы приростов площади строительных фондов жилых зданий (тыс. м</w:t>
      </w:r>
      <w:r>
        <w:rPr>
          <w:rFonts w:cs="Times New Roman" w:ascii="Times New Roman" w:hAnsi="Times New Roman"/>
          <w:color w:val="000000" w:themeColor="text1"/>
          <w:sz w:val="28"/>
          <w:szCs w:val="28"/>
          <w:vertAlign w:val="superscript"/>
          <w:lang w:val="ru-RU"/>
        </w:rPr>
        <w:t>2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), теплоснабжение которых предусмотрено от новых котельных</w:t>
      </w:r>
    </w:p>
    <w:p>
      <w:pPr>
        <w:pStyle w:val="Normal"/>
        <w:spacing w:lineRule="auto" w:line="27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Табл. 1.5</w:t>
      </w:r>
    </w:p>
    <w:tbl>
      <w:tblPr>
        <w:tblW w:w="10075" w:type="dxa"/>
        <w:jc w:val="left"/>
        <w:tblInd w:w="-181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51"/>
        <w:gridCol w:w="2048"/>
        <w:gridCol w:w="1169"/>
        <w:gridCol w:w="797"/>
        <w:gridCol w:w="798"/>
        <w:gridCol w:w="798"/>
        <w:gridCol w:w="797"/>
        <w:gridCol w:w="798"/>
        <w:gridCol w:w="14"/>
        <w:gridCol w:w="916"/>
        <w:gridCol w:w="1288"/>
      </w:tblGrid>
      <w:tr>
        <w:trPr/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Район строительства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Всего 2016-2030 т.г.,</w:t>
            </w:r>
          </w:p>
          <w:p>
            <w:pPr>
              <w:pStyle w:val="Normal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vertAlign w:val="superscript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тыс. м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40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I очередь</w:t>
            </w:r>
          </w:p>
        </w:tc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/>
        <w:tc>
          <w:tcPr>
            <w:tcW w:w="6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2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1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vertAlign w:val="superscript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vertAlign w:val="superscript"/>
                <w:lang w:eastAsia="ar-SA"/>
              </w:rPr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 г.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 г.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 г.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 г.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 г.г.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 г.г.</w:t>
            </w:r>
          </w:p>
        </w:tc>
      </w:tr>
      <w:tr>
        <w:trPr/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Центральная часть г. Борзя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176,77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57,77</w:t>
            </w:r>
          </w:p>
        </w:tc>
      </w:tr>
      <w:tr>
        <w:trPr/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Восточная часть г. Борзя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205,788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66,788</w:t>
            </w:r>
          </w:p>
        </w:tc>
      </w:tr>
      <w:tr>
        <w:trPr/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Западная часть г. Борзя (ул. 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Промышленная)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31,7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10,7</w:t>
            </w:r>
          </w:p>
        </w:tc>
      </w:tr>
      <w:tr>
        <w:trPr/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Мкр «Борзя -2» севернее ул. Победы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220,55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76,55</w:t>
            </w:r>
          </w:p>
        </w:tc>
      </w:tr>
      <w:tr>
        <w:trPr/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829,658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277,058</w:t>
            </w:r>
          </w:p>
        </w:tc>
      </w:tr>
    </w:tbl>
    <w:p>
      <w:pPr>
        <w:pStyle w:val="Normal"/>
        <w:spacing w:lineRule="auto" w:line="276"/>
        <w:ind w:hanging="142"/>
        <w:jc w:val="center"/>
        <w:rPr>
          <w:rFonts w:ascii="Times New Roman" w:hAnsi="Times New Roman" w:eastAsia="Calibri" w:cs="Times New Roman"/>
          <w:b/>
          <w:b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b/>
          <w:color w:val="000000" w:themeColor="text1"/>
          <w:sz w:val="28"/>
          <w:szCs w:val="28"/>
          <w:lang w:eastAsia="ar-SA"/>
        </w:rPr>
      </w:r>
    </w:p>
    <w:p>
      <w:pPr>
        <w:pStyle w:val="Normal"/>
        <w:spacing w:lineRule="auto" w:line="276"/>
        <w:ind w:left="1069" w:right="28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Прогнозы приростов площади строительных фондов общественных (нежилых) зданий (тыс. м</w:t>
      </w:r>
      <w:r>
        <w:rPr>
          <w:rFonts w:cs="Times New Roman" w:ascii="Times New Roman" w:hAnsi="Times New Roman"/>
          <w:color w:val="000000" w:themeColor="text1"/>
          <w:sz w:val="28"/>
          <w:szCs w:val="28"/>
          <w:vertAlign w:val="superscript"/>
          <w:lang w:val="ru-RU"/>
        </w:rPr>
        <w:t>2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), теплоснабжение которых предусмотрено от новых котельных</w:t>
      </w:r>
    </w:p>
    <w:p>
      <w:pPr>
        <w:pStyle w:val="Normal"/>
        <w:spacing w:lineRule="auto" w:line="27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Табл. 1.6</w:t>
      </w:r>
    </w:p>
    <w:tbl>
      <w:tblPr>
        <w:tblW w:w="9899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13"/>
        <w:gridCol w:w="2018"/>
        <w:gridCol w:w="1003"/>
        <w:gridCol w:w="800"/>
        <w:gridCol w:w="849"/>
        <w:gridCol w:w="706"/>
        <w:gridCol w:w="709"/>
        <w:gridCol w:w="883"/>
        <w:gridCol w:w="9"/>
        <w:gridCol w:w="1090"/>
        <w:gridCol w:w="1018"/>
      </w:tblGrid>
      <w:tr>
        <w:trPr/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Район строительства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Всего 2016-2030 т.г.,</w:t>
            </w:r>
          </w:p>
          <w:p>
            <w:pPr>
              <w:pStyle w:val="Normal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vertAlign w:val="superscript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тыс. м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39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I очередь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/>
        <w:tc>
          <w:tcPr>
            <w:tcW w:w="8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20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0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vertAlign w:val="superscript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vertAlign w:val="superscript"/>
                <w:lang w:eastAsia="ar-SA"/>
              </w:rPr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 г.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 г.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 г.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 г.г.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 г.г.</w:t>
            </w:r>
          </w:p>
        </w:tc>
      </w:tr>
      <w:tr>
        <w:trPr>
          <w:trHeight w:val="70" w:hRule="atLeast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Центральная часть г. Борзя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88,5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28,5</w:t>
            </w:r>
          </w:p>
        </w:tc>
      </w:tr>
      <w:tr>
        <w:trPr/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Восточная часть г. Борзя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82,5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24,5</w:t>
            </w:r>
          </w:p>
        </w:tc>
      </w:tr>
      <w:tr>
        <w:trPr/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Западная часть                        г. Борзя                             (ул. 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Промыш-ленная)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34,8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11,6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13,2</w:t>
            </w:r>
          </w:p>
        </w:tc>
      </w:tr>
      <w:tr>
        <w:trPr/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Мкр «Борзя -2» севернее ул. Победы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99,2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31,2</w:t>
            </w:r>
          </w:p>
        </w:tc>
      </w:tr>
      <w:tr>
        <w:trPr/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403,5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135,6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127,9</w:t>
            </w:r>
          </w:p>
        </w:tc>
      </w:tr>
    </w:tbl>
    <w:p>
      <w:pPr>
        <w:sectPr>
          <w:footerReference w:type="default" r:id="rId23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ind w:right="28" w:firstLine="42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1.3. Потребление тепловой энергии (мощности) и теплоносителя объектами, расположенными в производственных зонах, с учётом возможных изменений производственных зон и их перепрофилирования и приросты потребления тепловой энергии (мощности)</w:t>
      </w:r>
    </w:p>
    <w:p>
      <w:pPr>
        <w:pStyle w:val="Normal"/>
        <w:spacing w:lineRule="auto" w:line="276"/>
        <w:ind w:right="28" w:firstLine="42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left="-140" w:right="28" w:firstLine="56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Теплоснабжение объектов производственных зон осуществляется от собственных котельных.</w:t>
      </w:r>
    </w:p>
    <w:p>
      <w:pPr>
        <w:pStyle w:val="Normal"/>
        <w:spacing w:lineRule="auto" w:line="276"/>
        <w:ind w:left="-140" w:right="28" w:firstLine="56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процессе обследования всем предприятиям передавались бланки исходных данных и письменные предложения на подключение к централизованной системе теплоснабжения.</w:t>
      </w:r>
    </w:p>
    <w:p>
      <w:pPr>
        <w:pStyle w:val="Normal"/>
        <w:spacing w:lineRule="auto" w:line="276"/>
        <w:ind w:left="-140" w:right="28" w:firstLine="566"/>
        <w:jc w:val="both"/>
        <w:rPr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Поступают обращения о подключении к системе теплоснабжения объектов военного городка ул. Гастелло, ЮПЭС ул. Свердлова, магазины по ул.Лазо, военкомат, дом престарелых, тир, отдел внутренних дел РФ по Борзинскому району, объекты в городском парке по ул.Лазо 37 Б, общежитие ул. Пушкина 2, городская баня ул. Железнодорожная, ДОСА ул. Лазо.</w:t>
      </w:r>
    </w:p>
    <w:p>
      <w:pPr>
        <w:pStyle w:val="Normal"/>
        <w:spacing w:lineRule="auto" w:line="276"/>
        <w:ind w:left="-140" w:right="28" w:firstLine="56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Теплоснабжение предприятий сохраняется по существующей схеме.</w:t>
      </w:r>
    </w:p>
    <w:p>
      <w:pPr>
        <w:pStyle w:val="115"/>
        <w:spacing w:lineRule="auto" w:line="276"/>
        <w:ind w:left="714" w:right="28" w:hanging="0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left="1069" w:right="28" w:hanging="0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1.4. Снижение тепловой нагрузки жилищно-коммунального сектора за счёт сноса жилья</w:t>
      </w:r>
    </w:p>
    <w:p>
      <w:pPr>
        <w:pStyle w:val="Normal"/>
        <w:spacing w:lineRule="auto" w:line="276"/>
        <w:ind w:left="142" w:right="28" w:firstLine="28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right="28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Помимо  планируемого нового строительства в городе в соответствии с данными Администрации города Борзя намечается снос жилья.</w:t>
      </w:r>
    </w:p>
    <w:p>
      <w:pPr>
        <w:pStyle w:val="Normal"/>
        <w:spacing w:lineRule="auto" w:line="276"/>
        <w:ind w:right="28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Существующие жилые дома, подлежащие сносу, отапливаются от бытовых печей твёрдым топливом (уголь, дрова).</w:t>
      </w:r>
    </w:p>
    <w:p>
      <w:pPr>
        <w:pStyle w:val="Normal"/>
        <w:spacing w:lineRule="auto" w:line="276"/>
        <w:ind w:right="28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Снижение тепловой  нагрузки жилищно-коммунального сектора  города в процессе сноса неблагоустроенных жилых домов, не планируется.</w:t>
      </w:r>
    </w:p>
    <w:p>
      <w:pPr>
        <w:pStyle w:val="Normal"/>
        <w:spacing w:lineRule="auto" w:line="276"/>
        <w:ind w:right="28"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left="142" w:right="28" w:hanging="0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1.5. Приросты тепловой нагрузки за счёт строительства новых зданий</w:t>
      </w:r>
    </w:p>
    <w:p>
      <w:pPr>
        <w:pStyle w:val="Normal"/>
        <w:spacing w:lineRule="auto" w:line="276"/>
        <w:ind w:left="142" w:right="28" w:hanging="0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right="28"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  приростов объёма потребления тепловой энергии в сетевой воде новыми  многоквартирными, жилыми домами и общественными зданиями.</w:t>
      </w:r>
    </w:p>
    <w:p>
      <w:pPr>
        <w:sectPr>
          <w:footerReference w:type="default" r:id="rId24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ind w:right="28"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В настоящее время в качестве теплоносителя в системе централизованного теплоснабжения используется горячая вода. Горячую воду планируется использовать в системе теплоснабжения города и на перспективу. Пар используется только на объекте – баня, теплоснабжение которой осуществляется от собственной котельной. 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 спроса на тепловую мощность в Гкал/час (2016-2030 г.г.)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Городское поселение «Борзинское»</w:t>
      </w:r>
    </w:p>
    <w:p>
      <w:pPr>
        <w:pStyle w:val="Normal"/>
        <w:spacing w:lineRule="auto" w:line="276"/>
        <w:ind w:left="1069" w:right="28" w:hang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Вариант 1 (не принятый)</w:t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Табл. 1.7.1.</w:t>
      </w:r>
    </w:p>
    <w:tbl>
      <w:tblPr>
        <w:tblW w:w="9726" w:type="dxa"/>
        <w:jc w:val="left"/>
        <w:tblInd w:w="-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20"/>
        <w:gridCol w:w="1984"/>
        <w:gridCol w:w="1300"/>
        <w:gridCol w:w="770"/>
        <w:gridCol w:w="770"/>
        <w:gridCol w:w="770"/>
        <w:gridCol w:w="771"/>
        <w:gridCol w:w="770"/>
        <w:gridCol w:w="10"/>
        <w:gridCol w:w="869"/>
        <w:gridCol w:w="1091"/>
      </w:tblGrid>
      <w:tr>
        <w:trPr/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Наименование источника тепловой энергии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2015 г,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Гкал/час</w:t>
            </w:r>
          </w:p>
        </w:tc>
        <w:tc>
          <w:tcPr>
            <w:tcW w:w="38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1 очередь: 2014-2018 г.г.</w:t>
            </w:r>
          </w:p>
        </w:tc>
        <w:tc>
          <w:tcPr>
            <w:tcW w:w="1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Перспектива</w:t>
            </w:r>
          </w:p>
        </w:tc>
      </w:tr>
      <w:tr>
        <w:trPr/>
        <w:tc>
          <w:tcPr>
            <w:tcW w:w="6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6"/>
                <w:szCs w:val="26"/>
                <w:lang w:eastAsia="ar-SA"/>
              </w:rPr>
            </w:r>
          </w:p>
        </w:tc>
        <w:tc>
          <w:tcPr>
            <w:tcW w:w="1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6"/>
                <w:szCs w:val="26"/>
                <w:lang w:eastAsia="ar-SA"/>
              </w:rPr>
            </w:r>
          </w:p>
        </w:tc>
        <w:tc>
          <w:tcPr>
            <w:tcW w:w="13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6"/>
                <w:szCs w:val="26"/>
                <w:lang w:eastAsia="ar-SA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2016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2017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2018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2019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2020</w:t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2021-2025 г.г.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6"/>
                <w:szCs w:val="26"/>
              </w:rPr>
              <w:t>2026-2030 г.г.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«Госпиталь»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10,2</w:t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Центральная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45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Модульная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10,8</w:t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14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Восточная ()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19,3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19,3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 xml:space="preserve">Западная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19,3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38</w:t>
            </w:r>
          </w:p>
        </w:tc>
      </w:tr>
    </w:tbl>
    <w:p>
      <w:pPr>
        <w:pStyle w:val="115"/>
        <w:spacing w:lineRule="auto" w:line="276"/>
        <w:ind w:left="714" w:right="28" w:hanging="0"/>
        <w:jc w:val="center"/>
        <w:rPr>
          <w:rFonts w:ascii="Times New Roman" w:hAnsi="Times New Roman" w:eastAsia="Calibri" w:cs="Times New Roman"/>
          <w:b/>
          <w:b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b/>
          <w:color w:val="000000" w:themeColor="text1"/>
          <w:sz w:val="28"/>
          <w:szCs w:val="28"/>
          <w:lang w:eastAsia="ar-SA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 спроса на тепловую мощность для отопления нового жилищного строительства в Гкал/год (2016-2030 г.г)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Городское поселение «Борзинское»</w:t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Табл. 1.8</w:t>
      </w:r>
    </w:p>
    <w:tbl>
      <w:tblPr>
        <w:tblW w:w="9786" w:type="dxa"/>
        <w:jc w:val="left"/>
        <w:tblInd w:w="-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8"/>
        <w:gridCol w:w="2637"/>
        <w:gridCol w:w="1163"/>
        <w:gridCol w:w="736"/>
        <w:gridCol w:w="736"/>
        <w:gridCol w:w="736"/>
        <w:gridCol w:w="736"/>
        <w:gridCol w:w="736"/>
        <w:gridCol w:w="32"/>
        <w:gridCol w:w="812"/>
        <w:gridCol w:w="893"/>
      </w:tblGrid>
      <w:tr>
        <w:trPr/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районов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стр-ва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Всего: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Гкал/год</w:t>
            </w:r>
          </w:p>
        </w:tc>
        <w:tc>
          <w:tcPr>
            <w:tcW w:w="37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1 очередь: 2016-2020 г.г.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/>
        <w:tc>
          <w:tcPr>
            <w:tcW w:w="5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2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 г.г.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 г.г.</w:t>
            </w:r>
          </w:p>
        </w:tc>
      </w:tr>
      <w:tr>
        <w:trPr>
          <w:trHeight w:val="70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Центральная часть                        г. Борзя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57000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4000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19000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19000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Восточная часть г.Борзя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67000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22000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22000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Западная частьг.Борзя(ул.Промыш-ленная)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1000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3000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Мкр «Борзя -2» севернее ул. Победы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71000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5000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24000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25000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  <w:t>Всего: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205000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15000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15000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15000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15000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15000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69000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  <w:lang w:val="ru-RU"/>
              </w:rPr>
              <w:t>69000</w:t>
            </w:r>
          </w:p>
        </w:tc>
      </w:tr>
    </w:tbl>
    <w:p>
      <w:pPr>
        <w:sectPr>
          <w:footerReference w:type="default" r:id="rId25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 спроса на тепловую мощность для отопления нового жилищного строительства в Гкал/час (2016-2030 г.г)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Городское поселение «Борзинское»</w:t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Табл. 1.9</w:t>
      </w:r>
    </w:p>
    <w:tbl>
      <w:tblPr>
        <w:tblW w:w="9846" w:type="dxa"/>
        <w:jc w:val="left"/>
        <w:tblInd w:w="-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87"/>
        <w:gridCol w:w="1849"/>
        <w:gridCol w:w="1821"/>
        <w:gridCol w:w="724"/>
        <w:gridCol w:w="727"/>
        <w:gridCol w:w="728"/>
        <w:gridCol w:w="727"/>
        <w:gridCol w:w="728"/>
        <w:gridCol w:w="11"/>
        <w:gridCol w:w="805"/>
        <w:gridCol w:w="1138"/>
      </w:tblGrid>
      <w:tr>
        <w:trPr/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районов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стр-ва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ВсегоГкал/час</w:t>
            </w:r>
          </w:p>
        </w:tc>
        <w:tc>
          <w:tcPr>
            <w:tcW w:w="36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1 очередь: 2016-2020 г.г.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/>
        <w:tc>
          <w:tcPr>
            <w:tcW w:w="5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8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8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 г.г.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 г.г.</w:t>
            </w:r>
          </w:p>
        </w:tc>
      </w:tr>
      <w:tr>
        <w:trPr>
          <w:trHeight w:val="70" w:hRule="atLeast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Центральная часть г.Борзя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12,4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4,1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Восточная часть                         г. Борзя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14,4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4,8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4,7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Западная часть                        г.Борзя                             (ул.Промыш-ленная)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0,7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Мкр «Борзя -2» севернее ул. Победы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15,4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5,2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5,4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44,4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17,9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17,9</w:t>
            </w:r>
          </w:p>
        </w:tc>
      </w:tr>
    </w:tbl>
    <w:p>
      <w:pPr>
        <w:pStyle w:val="115"/>
        <w:spacing w:lineRule="auto" w:line="276"/>
        <w:ind w:left="714" w:right="28" w:hanging="0"/>
        <w:jc w:val="center"/>
        <w:rPr>
          <w:rFonts w:ascii="Times New Roman" w:hAnsi="Times New Roman" w:eastAsia="Calibri" w:cs="Times New Roman"/>
          <w:b/>
          <w:b/>
          <w:color w:val="000000" w:themeColor="text1"/>
          <w:sz w:val="28"/>
          <w:szCs w:val="28"/>
          <w:lang w:val="ru-RU" w:eastAsia="ar-SA"/>
        </w:rPr>
      </w:pPr>
      <w:r>
        <w:rPr>
          <w:rFonts w:eastAsia="Calibri" w:cs="Times New Roman" w:ascii="Times New Roman" w:hAnsi="Times New Roman"/>
          <w:b/>
          <w:color w:val="000000" w:themeColor="text1"/>
          <w:sz w:val="28"/>
          <w:szCs w:val="28"/>
          <w:lang w:val="ru-RU" w:eastAsia="ar-SA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 спроса на тепловую мощность для отопления нового  строительства общественных зданий в Гкал/год (2016-2030 г.г)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Городское поселение «Борзинское»</w:t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Табл. 1.10</w:t>
      </w:r>
    </w:p>
    <w:tbl>
      <w:tblPr>
        <w:tblW w:w="9846" w:type="dxa"/>
        <w:jc w:val="left"/>
        <w:tblInd w:w="-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87"/>
        <w:gridCol w:w="1849"/>
        <w:gridCol w:w="1218"/>
        <w:gridCol w:w="795"/>
        <w:gridCol w:w="795"/>
        <w:gridCol w:w="795"/>
        <w:gridCol w:w="798"/>
        <w:gridCol w:w="795"/>
        <w:gridCol w:w="13"/>
        <w:gridCol w:w="1008"/>
        <w:gridCol w:w="1192"/>
      </w:tblGrid>
      <w:tr>
        <w:trPr/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районов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стр-ва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Всего: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Гкал/час</w:t>
            </w:r>
          </w:p>
        </w:tc>
        <w:tc>
          <w:tcPr>
            <w:tcW w:w="39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1 очередь: 2016-2020 г.г.</w:t>
            </w: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/>
        <w:tc>
          <w:tcPr>
            <w:tcW w:w="5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8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 г.г.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 г.г.</w:t>
            </w:r>
          </w:p>
        </w:tc>
      </w:tr>
      <w:tr>
        <w:trPr>
          <w:trHeight w:val="70" w:hRule="atLeast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Центральная часть                        г. Борзя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35842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12150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11543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Восточная часть                         г. Борзя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33413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2430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11340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9923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Западная часть                        г.Борзя                             (ул.Промыш-ленная)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14094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810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810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810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810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4698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5346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Мкр «Борзя -2» севернее ул. Победы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40176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2835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2835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13365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12636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123525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10959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10959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10959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10959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10959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41553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39448</w:t>
            </w:r>
          </w:p>
        </w:tc>
      </w:tr>
    </w:tbl>
    <w:p>
      <w:pPr>
        <w:sectPr>
          <w:footerReference w:type="default" r:id="rId26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 спроса на тепловую мощность для отопления нового  строительства общественных зданий в Гкал/час (2016-2030 г.г)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Городское поселение «Борзинское»</w:t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Табл. 1.11</w:t>
      </w:r>
    </w:p>
    <w:tbl>
      <w:tblPr>
        <w:tblW w:w="9846" w:type="dxa"/>
        <w:jc w:val="left"/>
        <w:tblInd w:w="-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87"/>
        <w:gridCol w:w="1849"/>
        <w:gridCol w:w="1219"/>
        <w:gridCol w:w="795"/>
        <w:gridCol w:w="796"/>
        <w:gridCol w:w="796"/>
        <w:gridCol w:w="798"/>
        <w:gridCol w:w="795"/>
        <w:gridCol w:w="13"/>
        <w:gridCol w:w="1008"/>
        <w:gridCol w:w="1189"/>
      </w:tblGrid>
      <w:tr>
        <w:trPr/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районов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стр-ва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Всего: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Гкал/час</w:t>
            </w:r>
          </w:p>
        </w:tc>
        <w:tc>
          <w:tcPr>
            <w:tcW w:w="39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1 очередь: 2014-2018 г.г.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/>
        <w:tc>
          <w:tcPr>
            <w:tcW w:w="5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8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 г.г.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 г.г.</w:t>
            </w:r>
          </w:p>
        </w:tc>
      </w:tr>
      <w:tr>
        <w:trPr>
          <w:trHeight w:val="70" w:hRule="atLeast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Центральная часть                        г. Борзя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6,6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2,1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Восточная часть                         г. Борзя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6,2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1,8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Западная часть                        г.Борзя                             (ул.Промыш-ленная)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Мкр «Борзя -2» севернее ул. Победы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7,4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>
        <w:trPr/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22,8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1,7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1,7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1,7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1,7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7,8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7,2</w:t>
            </w:r>
          </w:p>
        </w:tc>
      </w:tr>
    </w:tbl>
    <w:p>
      <w:pPr>
        <w:sectPr>
          <w:footerReference w:type="default" r:id="rId27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 спроса на тепловую мощность для горячего водоснабжения нового строительства в Гкал/год (2016-2030 г.г)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Городское поселение «Борзинское»</w:t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Табл. 1.12</w:t>
      </w:r>
    </w:p>
    <w:tbl>
      <w:tblPr>
        <w:tblW w:w="9846" w:type="dxa"/>
        <w:jc w:val="left"/>
        <w:tblInd w:w="-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88"/>
        <w:gridCol w:w="1849"/>
        <w:gridCol w:w="1207"/>
        <w:gridCol w:w="793"/>
        <w:gridCol w:w="795"/>
        <w:gridCol w:w="793"/>
        <w:gridCol w:w="796"/>
        <w:gridCol w:w="793"/>
        <w:gridCol w:w="13"/>
        <w:gridCol w:w="1024"/>
        <w:gridCol w:w="1194"/>
      </w:tblGrid>
      <w:tr>
        <w:trPr/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районов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стр-ва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Гкал/год</w:t>
            </w:r>
          </w:p>
        </w:tc>
        <w:tc>
          <w:tcPr>
            <w:tcW w:w="39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1 очередь: 2016-2020 г.г.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/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8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2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 г.г.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 г.г.</w:t>
            </w:r>
          </w:p>
        </w:tc>
      </w:tr>
      <w:tr>
        <w:trPr>
          <w:trHeight w:val="70" w:hRule="atLeast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Центральная частьг. Борзя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18450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1253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1253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1253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1253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1253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6158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6030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Восточная частьг. Борзя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21479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1461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1461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1461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1461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1461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7202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6971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Западная часть г.Борзя                             (ул.Промыш-ленная)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3309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209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209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1148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1117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Мкр «Борзя -2» севернее ул. Победы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23020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1566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1566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1566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1566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1566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7724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7990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66258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4489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4489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4489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4489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4489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22232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22108</w:t>
            </w:r>
          </w:p>
        </w:tc>
      </w:tr>
    </w:tbl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Прогноз спроса на тепловую мощность для горячего водоснабжения нового строительства в Гкал/час (2016-2030 г.г)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Городское поселение «Борзинское»</w:t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Табл. 1.13</w:t>
      </w:r>
    </w:p>
    <w:tbl>
      <w:tblPr>
        <w:tblW w:w="9923" w:type="dxa"/>
        <w:jc w:val="left"/>
        <w:tblInd w:w="-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88"/>
        <w:gridCol w:w="2260"/>
        <w:gridCol w:w="1219"/>
        <w:gridCol w:w="898"/>
        <w:gridCol w:w="849"/>
        <w:gridCol w:w="833"/>
        <w:gridCol w:w="723"/>
        <w:gridCol w:w="724"/>
        <w:gridCol w:w="18"/>
        <w:gridCol w:w="786"/>
        <w:gridCol w:w="1024"/>
      </w:tblGrid>
      <w:tr>
        <w:trPr/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районов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стр-ва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Всего:</w:t>
            </w:r>
          </w:p>
          <w:p>
            <w:pPr>
              <w:pStyle w:val="115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Гкал/час</w:t>
            </w:r>
          </w:p>
        </w:tc>
        <w:tc>
          <w:tcPr>
            <w:tcW w:w="40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1 очередь: 2016-2020 г.г.</w:t>
            </w:r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/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22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 г.г.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 г.г.</w:t>
            </w:r>
          </w:p>
        </w:tc>
      </w:tr>
      <w:tr>
        <w:trPr>
          <w:trHeight w:val="70" w:hRule="atLeast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Центральная часть г. Борзя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10,5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0,7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0,7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3,5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3,4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Восточная часть г. Борзя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12,3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0,8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4,1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Западная часть г.Борзя (ул.Промышленная)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0,6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Мкр «Борзя -2» севернее ул. Победы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13,2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4,6</w:t>
            </w:r>
          </w:p>
        </w:tc>
      </w:tr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37,9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2,5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2,5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2,5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2,5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2,5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12,7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15"/>
              <w:snapToGrid w:val="false"/>
              <w:spacing w:lineRule="auto" w:line="276"/>
              <w:ind w:right="28" w:hang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12,6</w:t>
            </w:r>
          </w:p>
        </w:tc>
      </w:tr>
    </w:tbl>
    <w:p>
      <w:pPr>
        <w:sectPr>
          <w:footerReference w:type="default" r:id="rId28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11"/>
        <w:spacing w:lineRule="auto" w:line="276"/>
        <w:rPr>
          <w:rFonts w:ascii="Times New Roman" w:hAnsi="Times New Roman" w:eastAsia="Times New Roman" w:cs="Times New Roman"/>
          <w:b/>
          <w:b/>
          <w:color w:val="000000" w:themeColor="text1"/>
          <w:sz w:val="28"/>
          <w:szCs w:val="28"/>
          <w:lang w:val="ru-RU" w:eastAsia="ar-SA"/>
        </w:rPr>
      </w:pPr>
      <w:bookmarkStart w:id="15" w:name="_Toc21181491"/>
      <w:bookmarkStart w:id="16" w:name="_Toc21181563"/>
      <w:bookmarkStart w:id="17" w:name="_Toc21181658"/>
      <w:bookmarkStart w:id="18" w:name="_Toc21181788"/>
      <w:bookmarkStart w:id="19" w:name="_Toc21182108"/>
      <w:bookmarkStart w:id="20" w:name="_Toc21182209"/>
      <w:bookmarkStart w:id="21" w:name="_Toc21182317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2. «Перспективные балансы располагаемой тепловой мощности источников тепловой энергии и тепловой нагрузки потребителей» содержит:</w:t>
      </w:r>
      <w:bookmarkEnd w:id="15"/>
      <w:bookmarkEnd w:id="16"/>
      <w:bookmarkEnd w:id="17"/>
      <w:bookmarkEnd w:id="18"/>
      <w:bookmarkEnd w:id="19"/>
      <w:bookmarkEnd w:id="20"/>
      <w:bookmarkEnd w:id="21"/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Табл. 2.1. Перспективные балансы тепловой мощности Центральной котельной</w:t>
      </w:r>
    </w:p>
    <w:tbl>
      <w:tblPr>
        <w:tblW w:w="10212" w:type="dxa"/>
        <w:jc w:val="left"/>
        <w:tblInd w:w="-181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85"/>
        <w:gridCol w:w="963"/>
        <w:gridCol w:w="992"/>
        <w:gridCol w:w="991"/>
        <w:gridCol w:w="992"/>
        <w:gridCol w:w="993"/>
        <w:gridCol w:w="991"/>
        <w:gridCol w:w="1703"/>
      </w:tblGrid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2022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2023 г.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2024 г.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2025-2030 г.г.</w:t>
            </w:r>
          </w:p>
        </w:tc>
      </w:tr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Общая установленная мощность основного оборудования, Гкал/год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60796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60796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60796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60796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60796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80000</w:t>
            </w:r>
          </w:p>
        </w:tc>
      </w:tr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Общая располагаемая  мощность, Гкал/год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</w:tr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Располагаемая  мощность технического резерва, Гкал/год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Общая располагаемая  мощность без учёта технического резерва, Гкал/год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</w:tr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Потребность в выработке тепловой энергии для покрытия нужд нагрузки потребителей, Гкал/год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50713</w:t>
            </w:r>
          </w:p>
        </w:tc>
      </w:tr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Потребность в выработке тепловой энергии на собственные нужды, Гкал/год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1775</w:t>
            </w:r>
          </w:p>
        </w:tc>
      </w:tr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Потери тепловой энергии при передаче её до потребителя, Гкал/год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8298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8298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8298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8298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8298</w:t>
            </w:r>
          </w:p>
        </w:tc>
      </w:tr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Дефицит/резерв тепловой мощности источника теплоснабжения, Гкал/год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>
      <w:pPr>
        <w:sectPr>
          <w:footerReference w:type="default" r:id="rId29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Табл. 2.2. Перспективные балансы тепловой мощности Модульной котельной</w:t>
      </w:r>
    </w:p>
    <w:tbl>
      <w:tblPr>
        <w:tblW w:w="10212" w:type="dxa"/>
        <w:jc w:val="left"/>
        <w:tblInd w:w="-181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56"/>
        <w:gridCol w:w="992"/>
        <w:gridCol w:w="992"/>
        <w:gridCol w:w="991"/>
        <w:gridCol w:w="992"/>
        <w:gridCol w:w="993"/>
        <w:gridCol w:w="991"/>
        <w:gridCol w:w="1703"/>
      </w:tblGrid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2022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2023 г.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2024 г.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2025-2030 г.г.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Общая установленная мощность основного оборудования, Гкал/год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20262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20262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20262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Общая располагаемая  мощность, Гкал/год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Располагаемая  мощность технического резерва, Гкал/год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Общая располагаемая  мощность без учёта технического резерва, Гкал/год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Потребность в выработке тепловой энергии для покрытия нужд нагрузки потребителей, Гкал/год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16904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Потребность в выработке тепловой энергии на собственные нужды, Гкал/год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592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Потери тепловой энергии при передаче её до потребителя, Гкал/год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2766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2766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2766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2766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2766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Дефицит/резерв тепловой мощности источника теплоснабжения, Гкал/год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>
      <w:pPr>
        <w:sectPr>
          <w:footerReference w:type="default" r:id="rId30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Табл. 2.3. Перспективные балансы тепловой мощности котельной «Госпиталь»</w:t>
      </w:r>
    </w:p>
    <w:tbl>
      <w:tblPr>
        <w:tblW w:w="10212" w:type="dxa"/>
        <w:jc w:val="left"/>
        <w:tblInd w:w="-181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56"/>
        <w:gridCol w:w="992"/>
        <w:gridCol w:w="992"/>
        <w:gridCol w:w="991"/>
        <w:gridCol w:w="992"/>
        <w:gridCol w:w="993"/>
        <w:gridCol w:w="991"/>
        <w:gridCol w:w="1703"/>
      </w:tblGrid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2022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2023 г.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2024 г.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2025-2030 г.г.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Общая установленная мощность основного оборудования,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17700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Общая располагаемая  мощность,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Располагаемая  мощность технического резерва,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Общая располагаемая  мощность без учёта технического резерва,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Потребность в выработке тепловой энергии для покрытия нужд нагрузки потребителей,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Потребность в выработке тепловой энергии на собственные нужды,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Потери тепловой энергии при передаче её до потребителя,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28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>
      <w:pPr>
        <w:sectPr>
          <w:footerReference w:type="default" r:id="rId31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widowControl/>
        <w:numPr>
          <w:ilvl w:val="1"/>
          <w:numId w:val="2"/>
        </w:numPr>
        <w:tabs>
          <w:tab w:val="clear" w:pos="708"/>
          <w:tab w:val="left" w:pos="-284" w:leader="none"/>
        </w:tabs>
        <w:suppressAutoHyphens w:val="true"/>
        <w:spacing w:lineRule="auto" w:line="276"/>
        <w:jc w:val="both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Описание существующих и перспективных зон действия систем теплоснабжения и источников тепловой энергии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720" w:hang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ab/>
        <w:t>Зоны действия источников теплоснабжения показаны на чертеже ТС -1.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территории Центральной части г.Борзя функционирует две системы теплоснабжения от двух источников тепловой энергии: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1.Центральная котельная обеспечивает тепловой энергией потребителей центральной части городского поселения «Борзинское»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2.Котельная «Госпиталь» обеспечивает тепловой энергией потребителей западной окраины и центральной части города.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3.Теплоснабжение западной части г.Борзя осуществляется от Модульной котельной.</w:t>
      </w:r>
    </w:p>
    <w:p>
      <w:pPr>
        <w:pStyle w:val="Normal"/>
        <w:widowControl/>
        <w:numPr>
          <w:ilvl w:val="1"/>
          <w:numId w:val="3"/>
        </w:numPr>
        <w:tabs>
          <w:tab w:val="clear" w:pos="708"/>
          <w:tab w:val="left" w:pos="-284" w:leader="none"/>
        </w:tabs>
        <w:suppressAutoHyphens w:val="true"/>
        <w:spacing w:lineRule="auto" w:line="276"/>
        <w:jc w:val="both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2.2. Зоны действия каждого источника тепловой энергии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42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Средний радиус источника теплоснабжения – это отношение оборота тепловой энергии к суммарной расчётной тепловой нагрузке всех абонентов,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42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Радиус эффективного теплоснабжения определяется согласно методике, предложенной «ВНИПИЭнергопром» в разрезе каждого источника тепловой энергии, которая учитывает ограничение потерь тепла через изоляцию при передаче тепловой энергии до 5%. При потерях  в теплосетях более 5 %, теплоснабжение считается не  эффективным.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42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Для новых котельных это условие должно быть учтено при разработке рабочего проекта.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42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Радиус эффективного теплоснабжения составляют: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42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 Центральная котельная – 3.9 км;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42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 Модульная котельная – 2,2 км;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42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 Котельная «Госпиталь» - 2,2 км.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42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Зоны действия существующих источников показаны на чертеже СТ-1.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42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Для котельной «Госпиталь» не соблюдается размер санитарно-защитной зоны (50 м до медицинского учреждения «Госпиталь»).</w:t>
      </w:r>
    </w:p>
    <w:p>
      <w:pPr>
        <w:sectPr>
          <w:footerReference w:type="default" r:id="rId32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ind w:left="142" w:right="28" w:firstLine="57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Проектом предлагается переключение потребителей тепловой энергии от котельной «Госпиталь» к Центральной котельной, после её реконструкции.</w:t>
      </w:r>
    </w:p>
    <w:p>
      <w:pPr>
        <w:pStyle w:val="111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22" w:name="_Toc21181492"/>
      <w:bookmarkStart w:id="23" w:name="_Toc21181564"/>
      <w:bookmarkStart w:id="24" w:name="_Toc21181659"/>
      <w:bookmarkStart w:id="25" w:name="_Toc21181789"/>
      <w:bookmarkStart w:id="26" w:name="_Toc21182109"/>
      <w:bookmarkStart w:id="27" w:name="_Toc21182210"/>
      <w:bookmarkStart w:id="28" w:name="_Toc21182318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3. Перспективные балансы теплоносителя</w:t>
      </w:r>
      <w:bookmarkEnd w:id="22"/>
      <w:bookmarkEnd w:id="23"/>
      <w:bookmarkEnd w:id="24"/>
      <w:bookmarkEnd w:id="25"/>
      <w:bookmarkEnd w:id="26"/>
      <w:bookmarkEnd w:id="27"/>
      <w:bookmarkEnd w:id="28"/>
    </w:p>
    <w:p>
      <w:pPr>
        <w:pStyle w:val="Normal"/>
        <w:spacing w:lineRule="auto" w:line="276"/>
        <w:rPr>
          <w:lang w:val="ru-RU"/>
        </w:rPr>
      </w:pPr>
      <w:r>
        <w:rPr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В городском поселении «Борзинское» </w:t>
      </w:r>
      <w:r>
        <w:rPr>
          <w:rFonts w:cs="Times New Roman" w:ascii="Times New Roman" w:hAnsi="Times New Roman"/>
          <w:bCs/>
          <w:color w:val="000000" w:themeColor="text1"/>
          <w:sz w:val="28"/>
          <w:szCs w:val="28"/>
          <w:lang w:val="ru-RU"/>
        </w:rPr>
        <w:t>запроектирована и действует закрытая система теплоснабжения, в которой не предусматривается использование сетевой воды потребителями для нужд горячего водоснабжения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путём её санкционированного отбора из тепловой сети. В системе теплоснабжения возможна утечка сетевой воды из тепловых сетей, в системах теплопотребления, через неплотности соединений и уплотнений трубопроводной арматуры, насосов. Потери компенсируются на котельных подпиточной водой, которая идёт на восполнение утечек теплоносителя. В качестве исходной воды для подпитки теплосети в городе используется вода из городского водопровода. Перед добавлением воды в тепловую сеть предусматривается спец.водоподготовка.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При этом установленное водоподготовительное оборудование котельных должно обеспечивать требуемое качество воды для подпитки котлов и тепловых сетей.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существующих котельных водоподготовительное оборудование установлено в соответствии  с решениями рабочего проекта котельной.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Таблица 3.1. Характеристика систем подпитки тепловых сетей</w:t>
      </w:r>
    </w:p>
    <w:p>
      <w:pPr>
        <w:pStyle w:val="Normal"/>
        <w:spacing w:lineRule="auto" w:line="27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tbl>
      <w:tblPr>
        <w:tblStyle w:val="NormalTable0"/>
        <w:tblW w:w="9638" w:type="dxa"/>
        <w:jc w:val="left"/>
        <w:tblInd w:w="-1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553"/>
        <w:gridCol w:w="1748"/>
        <w:gridCol w:w="3184"/>
        <w:gridCol w:w="1163"/>
        <w:gridCol w:w="1036"/>
        <w:gridCol w:w="1"/>
        <w:gridCol w:w="1952"/>
      </w:tblGrid>
      <w:tr>
        <w:trPr>
          <w:trHeight w:val="805" w:hRule="atLeast"/>
        </w:trPr>
        <w:tc>
          <w:tcPr>
            <w:tcW w:w="55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№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174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Система</w:t>
            </w:r>
          </w:p>
        </w:tc>
        <w:tc>
          <w:tcPr>
            <w:tcW w:w="31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 xml:space="preserve">Водоисточник </w:t>
            </w:r>
          </w:p>
        </w:tc>
        <w:tc>
          <w:tcPr>
            <w:tcW w:w="22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Фактические расходы</w:t>
            </w:r>
          </w:p>
        </w:tc>
        <w:tc>
          <w:tcPr>
            <w:tcW w:w="19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Расчетный расход м3/год</w:t>
            </w:r>
          </w:p>
        </w:tc>
      </w:tr>
      <w:tr>
        <w:trPr>
          <w:trHeight w:val="236" w:hRule="atLeast"/>
        </w:trPr>
        <w:tc>
          <w:tcPr>
            <w:tcW w:w="553" w:type="dxa"/>
            <w:vMerge w:val="continue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748" w:type="dxa"/>
            <w:vMerge w:val="continue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3184" w:type="dxa"/>
            <w:vMerge w:val="continue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м3/год*</w:t>
            </w:r>
          </w:p>
        </w:tc>
        <w:tc>
          <w:tcPr>
            <w:tcW w:w="1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м3/Гкал</w:t>
            </w:r>
          </w:p>
        </w:tc>
        <w:tc>
          <w:tcPr>
            <w:tcW w:w="19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741" w:hRule="atLeast"/>
        </w:trPr>
        <w:tc>
          <w:tcPr>
            <w:tcW w:w="5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Центральная</w:t>
            </w:r>
          </w:p>
        </w:tc>
        <w:tc>
          <w:tcPr>
            <w:tcW w:w="31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скважина+централизованное водоснабжение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81 678,65</w:t>
            </w:r>
          </w:p>
        </w:tc>
        <w:tc>
          <w:tcPr>
            <w:tcW w:w="1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16 413,50</w:t>
            </w:r>
          </w:p>
        </w:tc>
      </w:tr>
      <w:tr>
        <w:trPr>
          <w:trHeight w:val="496" w:hRule="atLeast"/>
        </w:trPr>
        <w:tc>
          <w:tcPr>
            <w:tcW w:w="5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Госпиталь</w:t>
            </w:r>
          </w:p>
        </w:tc>
        <w:tc>
          <w:tcPr>
            <w:tcW w:w="31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Централизованное водоснабжение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22 765,29</w:t>
            </w:r>
          </w:p>
        </w:tc>
        <w:tc>
          <w:tcPr>
            <w:tcW w:w="1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2 754,09</w:t>
            </w:r>
          </w:p>
        </w:tc>
      </w:tr>
      <w:tr>
        <w:trPr>
          <w:trHeight w:val="489" w:hRule="atLeast"/>
        </w:trPr>
        <w:tc>
          <w:tcPr>
            <w:tcW w:w="5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Модульная</w:t>
            </w:r>
          </w:p>
        </w:tc>
        <w:tc>
          <w:tcPr>
            <w:tcW w:w="31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Централизованное водоснабжение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93 757,20</w:t>
            </w:r>
          </w:p>
        </w:tc>
        <w:tc>
          <w:tcPr>
            <w:tcW w:w="1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9 365,37</w:t>
            </w:r>
          </w:p>
        </w:tc>
      </w:tr>
    </w:tbl>
    <w:p>
      <w:pPr>
        <w:sectPr>
          <w:footerReference w:type="default" r:id="rId33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11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29" w:name="_Toc21181493"/>
      <w:bookmarkStart w:id="30" w:name="_Toc21181565"/>
      <w:bookmarkStart w:id="31" w:name="_Toc21181660"/>
      <w:bookmarkStart w:id="32" w:name="_Toc21181790"/>
      <w:bookmarkStart w:id="33" w:name="_Toc21182110"/>
      <w:bookmarkStart w:id="34" w:name="_Toc21182211"/>
      <w:bookmarkStart w:id="35" w:name="_Toc21182319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4.Предложения по строительству, реконструкции и техническому перевооружению источников тепловой энергии</w:t>
      </w:r>
      <w:bookmarkEnd w:id="29"/>
      <w:bookmarkEnd w:id="30"/>
      <w:bookmarkEnd w:id="31"/>
      <w:bookmarkEnd w:id="32"/>
      <w:bookmarkEnd w:id="33"/>
      <w:bookmarkEnd w:id="34"/>
      <w:bookmarkEnd w:id="35"/>
    </w:p>
    <w:p>
      <w:pPr>
        <w:pStyle w:val="Normal"/>
        <w:spacing w:lineRule="auto" w:line="276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Теплоснабжение потребителей городского поселения в настоящее время осуществляется от 3-х котельных: «Центральная», «Модульная» и «Госпиталь».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Теплоносителем служит вода с параметрами 95-70˚С.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Существующие тепловые сети двухтрубные, тупиковые. Прокладка тепловых сетей подземная в непроходных лотковых каналах. </w:t>
      </w:r>
      <w:r>
        <w:rPr>
          <w:rFonts w:cs="Times New Roman" w:ascii="Times New Roman" w:hAnsi="Times New Roman"/>
          <w:bCs/>
          <w:color w:val="000000" w:themeColor="text1"/>
          <w:sz w:val="28"/>
          <w:szCs w:val="28"/>
          <w:u w:val="single"/>
          <w:lang w:val="ru-RU"/>
        </w:rPr>
        <w:t>Подогрев воды для горячего водоснабжения осуществляется в водонагревателях, установленных в индивидуальных тепловых пунктах зданий.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Производительность «Центральной» котельной г. Борзя полностью покрывает тепловые нагрузки существующей застройки. На 1-ю очередь предусматривается реконструкция «Центральной» котельной с увеличением мощности до 45 Гкал/час, для обеспечения тепловой энергией потребителей тепловой мощности котельной «Госпиталь». Потребление тепловой энергии объектов увеличится на 15 Гкал/ч. На перспективу предусмотрено строительство новой котельной «Восточная» до 70 Гкал/час.. Место размещения котельной принято, в соответствии с генеральным планом городского поселения «Борзинское» и правилами землепользования и застройки городского поселения «Борзинское».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перспективу (2021-2030 г.г.)  предусматривается строительство ещё одной котельной «Западная» до 50 Гкал/час, которая будет обеспечивать тепловой энергией объекты нового строительства в западной части территории г. Борзя.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За пределами расчётного срока (после 2030 года) возможно увеличение производительности котельной, с учётом закрытия «Модульной» котельной.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Существующая система теплоснабжения нуждается в постоянной модернизации, многие инженерные коммуникации имеют износ более 70 %, подключение потребителей к данным инженерным коммуникациям требует 100 % замены трубопроводов, а в некоторых случаях увеличения диаметров существующих коммуникаций.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Износ тепловых сетей составляет в среднем 80 %.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1.Необходимо регулирование температуры теплоносителя тепловой сети, особенно в осенне-весенний периоды.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2. Необходимо регулирование параметров горячей воды (температуры и давления).</w:t>
      </w:r>
    </w:p>
    <w:p>
      <w:pPr>
        <w:pStyle w:val="Normal"/>
        <w:spacing w:lineRule="auto" w:line="276"/>
        <w:ind w:right="28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3. Необходимо применение новых технологий и материалов при капитальном ремонте и техническом обновлении основных фондов коммунальных систем (трубы, антикоррозийное покрытие, теплоизоляционные материалы и др.), что не всегда возможно из-за дороговизны энергоэффективных материалов.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4. Несмотря на ежегодное обновление и капитальный ремонт оборудования, средств автоматики безопасности и КИП на котельных, имеет место отставание от современных требований технологии, качественных характеристик: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-требуется повышение КПД котлов;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-низкая оперативность в ликвидации жёсткости в сетевой воде ввиду пропуска теплообменников (из-за физического износа), что приводит к увеличению накипеобразования в водогрейных котлах и снижению их КПД;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-уровень схем автоматики безопасности котлов и тип установленного оборудования (тягодутьевое, горелки, насосы) недостаточно обеспечивает их аварийный пуск и эксплуатацию, безопасность процессов горения в котлах.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5. Недостаточность средств диагностики состояния внутренних поверхностей тепловых сетей.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6. Необходимо снижение сверхнормативных потерь энергии. Основными причинами сверхнормативных потерь  при использовании минераловатной изоляции для теплопроводов являются следующие: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-повышенные теплопотери при накоплении влаги и уплотнении с 1-го года эксплуатации;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-полная утрата теплоизоляционных свойств после 100 % увлажнения в результате затопления каналов, подтопления грунтовыми водами, повышенной влажности в каналах;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-значительные теплопотери при несанкционированном потреблении сетевой воды для нужд горячего водоснабжения.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Дополнительно, в качестве варианта, предлагается реконструкция котельной «Центральная» (см. табл. 1.7.2. на ст. 19).</w:t>
      </w:r>
    </w:p>
    <w:p>
      <w:p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Проектом предлагается увеличение мощности котельной (на 15 Гкал/час) до 45 Гкал/час за счёт замены существующих котлов на новые ФКС (с реактором форсированного низкотемпературного «кипящего» слоя (З-ФКС), либо рассмотреть возможность установки дополнительного котельного агрегата.</w:t>
      </w:r>
    </w:p>
    <w:p>
      <w:pPr>
        <w:sectPr>
          <w:footerReference w:type="default" r:id="rId34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ind w:right="28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качестве источников теплоты приняты стальные водогрейные котлы с газоплотными панелями для эффективного сжигания высоковлажных и высокозольных бурых углей.</w:t>
      </w:r>
    </w:p>
    <w:p>
      <w:pPr>
        <w:pStyle w:val="111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36" w:name="_Toc21181494"/>
      <w:bookmarkStart w:id="37" w:name="_Toc21181566"/>
      <w:bookmarkStart w:id="38" w:name="_Toc21181661"/>
      <w:bookmarkStart w:id="39" w:name="_Toc21181791"/>
      <w:bookmarkStart w:id="40" w:name="_Toc21182111"/>
      <w:bookmarkStart w:id="41" w:name="_Toc21182212"/>
      <w:bookmarkStart w:id="42" w:name="_Toc21182320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5 «Предложения по строительству и реконструкции тепловых сетей» содержит:</w:t>
      </w:r>
      <w:bookmarkEnd w:id="36"/>
      <w:bookmarkEnd w:id="37"/>
      <w:bookmarkEnd w:id="38"/>
      <w:bookmarkEnd w:id="39"/>
      <w:bookmarkEnd w:id="40"/>
      <w:bookmarkEnd w:id="41"/>
      <w:bookmarkEnd w:id="42"/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360" w:right="-308" w:hang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Для обеспечения надежности всей системы теплоснабжения, необходимо закольцевать тепловые сети от трех тепловых источников. Таким образом будет возможно осуществить замещение тепловых потоков в случае частичного уменьшения отпуска тепловой энергии или полного выхода из строя.</w:t>
      </w:r>
    </w:p>
    <w:p>
      <w:pPr>
        <w:pStyle w:val="Normal"/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right="-308" w:hang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360" w:right="-308" w:hang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В связи с низкой пропускной способностью тепловых сетей от центральной котельной №1 до тепловой камеры УТ-7, расположенной по адресу: Забайкальский край, г. Борзя. Ул. Матросова, дом 17. Рекомендуется осуществить перекладку магистральных тепловых сетей с увеличением их диаметра.</w:t>
      </w:r>
    </w:p>
    <w:p>
      <w:pPr>
        <w:pStyle w:val="Normal"/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360" w:right="-308" w:hang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360" w:right="-308" w:hang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В случае отсутствия дефицита тепловой мощности и технической возможности необходимо осуществить подключение к централизованным сетям теплоснабжения следующих объектов:</w:t>
      </w:r>
    </w:p>
    <w:p>
      <w:pPr>
        <w:pStyle w:val="Normal"/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360" w:right="-308" w:hang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«Часть здания ПЦО Борзинского отдела охраны совместно с Коммерческим банком», расположенного по адресу: Забайкальский край, г. Борзя, ул. Ленина, дом 31.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1147" w:right="-308" w:hanging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«Жилой дом» расположенного по адресу: Забайкальский край, г. Борзя. ул. Матросова, дом 17.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1147" w:right="-308" w:hanging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«Жилой дом» расположенный по адресу: Забайкальский край, Борзинский район, г. Борзя, ул. Пушкина, д. 29/1</w:t>
      </w:r>
    </w:p>
    <w:p>
      <w:pPr>
        <w:sectPr>
          <w:footerReference w:type="default" r:id="rId35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"/>
        </w:numPr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1147" w:right="-308" w:hanging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«Отдел Министерства внутренних дел Российской Федерации по Борзинскому району», расположенного по адресу Забайкальский край, Борзинский район, г. Борзя, ул Советская, д. 11.</w:t>
      </w:r>
    </w:p>
    <w:p>
      <w:pPr>
        <w:pStyle w:val="Normal"/>
        <w:spacing w:lineRule="auto" w:line="276"/>
        <w:ind w:right="28" w:hanging="0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5.1.Оптимизация развития магистральных тепловых сетей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Централизация теплоснабжения по базе крупных источников теплоты требует значительных масштабов развития тепловых сетей и капиталовложений и их сооружение.</w:t>
      </w:r>
    </w:p>
    <w:p>
      <w:pPr>
        <w:pStyle w:val="Normal"/>
        <w:spacing w:lineRule="auto" w:line="276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связи с этим для повышения эффективности систем централизованного теплоснабжения необходимо совершенствовать методы оптимизации систем транспорта теплоты.</w:t>
      </w:r>
    </w:p>
    <w:p>
      <w:pPr>
        <w:pStyle w:val="Normal"/>
        <w:spacing w:lineRule="auto" w:line="276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Для оптимизации тепловых сетей предусмотрено: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 выбор оптимальной схемы тепловых сетей, оборудованных различными узлами управления: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-центральными тепловыми (ЦТП);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-контрольно-распределительными пунктами (КРП), а также различными резервирующими элементами, предназначенными для обеспечения надёжного и экономичного управления сложными тепловыми и гидравлическими режимами системы.</w:t>
      </w:r>
    </w:p>
    <w:p>
      <w:pPr>
        <w:pStyle w:val="Normal"/>
        <w:spacing w:lineRule="auto" w:line="276"/>
        <w:ind w:firstLine="1069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5.2.Основные задачи эксплуатации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-тщательное наблюдение за тепловыми сетями и стационарным оборудованием;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-своевременное проведение ревизий и ремонта;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-обеспечение быстрой локализации и ликвидации аварий и неполадок;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-организация контроля за состоянием теплоприёмников у потребителя.</w:t>
      </w:r>
    </w:p>
    <w:p>
      <w:pPr>
        <w:pStyle w:val="Normal"/>
        <w:spacing w:lineRule="auto" w:line="276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Нормальная работа системы теплоснабжения требует постоянного соблюдения источником тепловой энергии заданного графика отпуска тепла и параметров теплоносителя.</w:t>
      </w:r>
    </w:p>
    <w:p>
      <w:pPr>
        <w:pStyle w:val="Normal"/>
        <w:spacing w:lineRule="auto" w:line="276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Суточный отпуск тепла должен совпадать с потребным суточным.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При нарушении этого требования нарушается тепловой режим сети.</w:t>
      </w:r>
    </w:p>
    <w:p>
      <w:pPr>
        <w:pStyle w:val="Normal"/>
        <w:spacing w:lineRule="auto" w:line="276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При надёжном теплоснабжении обеспечивается теплом каждый потребитель, т.е. сюда входит задача правильного распределения циркулирующей сетевой воды по вводам потребителей.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firstLine="1069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5.3.Тепловой расчёт системы теплоснабжения</w:t>
      </w:r>
    </w:p>
    <w:p>
      <w:pPr>
        <w:pStyle w:val="Normal"/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стадии разработки схемы теплоснабжения г. Борзя решается только трассировка транзитных и магистральных тепловых сетей, так как отсутствует план строительства новых объектов и проект планировки.</w:t>
      </w:r>
    </w:p>
    <w:p>
      <w:pPr>
        <w:pStyle w:val="Normal"/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Диаметры теплосети приняты максимально возможные, для определения ориентировочной стоимости и учёта её в составе инвестиции.</w:t>
      </w:r>
    </w:p>
    <w:p>
      <w:pPr>
        <w:pStyle w:val="Normal"/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Конкретный расчёт теплосети будет осуществляться на последующих стадиях, при разработке проекта планировки.</w:t>
      </w:r>
    </w:p>
    <w:p>
      <w:pPr>
        <w:pStyle w:val="Normal"/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данном проекте рассчитана потребность на период 2016-2020 годы, с перспективой до 2030 года (по градостроительным нормативам) необходимого количества объектов социальной инфраструктуры (см. приложение 1).</w:t>
      </w:r>
    </w:p>
    <w:p>
      <w:pPr>
        <w:pStyle w:val="Normal"/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Определены тепловые нагрузки по каждому объекту (см. приложение 4).</w:t>
      </w:r>
    </w:p>
    <w:p>
      <w:pPr>
        <w:pStyle w:val="Normal"/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связи с отсутствием плана жилищного строительства и объектов социальной инфраструктуры, не определены площадки строительства, а также период строительства (сроки ввода в эксплуатацию).</w:t>
      </w:r>
    </w:p>
    <w:p>
      <w:pPr>
        <w:pStyle w:val="Normal"/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составе разработки проекта реконструкции «Центральной» котельной, после уточнения размещения конкретных объектов нового строительства будет разработана (на рабочей стадии) конкретная схема теплосетей, проект теплотрассы и проект реконструкции котельной.</w:t>
      </w:r>
    </w:p>
    <w:p>
      <w:pPr>
        <w:pStyle w:val="Normal"/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ind w:firstLine="1069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5.4.Надёжность теплоснабжения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соответствии со СНиП 41-02-2003 минимально допустимые показатели вероятности безотказной работы системы теплоснабжения составляют: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-источника теплоты Р</w:t>
      </w:r>
      <w:r>
        <w:rPr>
          <w:rFonts w:cs="Times New Roman" w:ascii="Times New Roman" w:hAnsi="Times New Roman"/>
          <w:color w:val="000000" w:themeColor="text1"/>
          <w:sz w:val="28"/>
          <w:szCs w:val="28"/>
          <w:vertAlign w:val="subscript"/>
          <w:lang w:val="ru-RU"/>
        </w:rPr>
        <w:t xml:space="preserve">ит 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= 0,97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-тепловых сетей Р</w:t>
      </w:r>
      <w:r>
        <w:rPr>
          <w:rFonts w:cs="Times New Roman" w:ascii="Times New Roman" w:hAnsi="Times New Roman"/>
          <w:color w:val="000000" w:themeColor="text1"/>
          <w:sz w:val="28"/>
          <w:szCs w:val="28"/>
          <w:vertAlign w:val="subscript"/>
          <w:lang w:val="ru-RU"/>
        </w:rPr>
        <w:t xml:space="preserve">тс 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= 0,90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-потребителей теплоты Р</w:t>
      </w:r>
      <w:r>
        <w:rPr>
          <w:rFonts w:cs="Times New Roman" w:ascii="Times New Roman" w:hAnsi="Times New Roman"/>
          <w:color w:val="000000" w:themeColor="text1"/>
          <w:sz w:val="28"/>
          <w:szCs w:val="28"/>
          <w:vertAlign w:val="subscript"/>
          <w:lang w:val="ru-RU"/>
        </w:rPr>
        <w:t xml:space="preserve">пт 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= 0,99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-СЦТ в целом Р</w:t>
      </w:r>
      <w:r>
        <w:rPr>
          <w:rFonts w:cs="Times New Roman" w:ascii="Times New Roman" w:hAnsi="Times New Roman"/>
          <w:color w:val="000000" w:themeColor="text1"/>
          <w:sz w:val="28"/>
          <w:szCs w:val="28"/>
          <w:vertAlign w:val="subscript"/>
          <w:lang w:val="ru-RU"/>
        </w:rPr>
        <w:t xml:space="preserve">сцт 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= 0,9х 0,97 х  0 ,99 = 0,86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Для обеспечения надёжности существующей системы теплоснабжения и исключения аварийных ситуаций проектом предусматривается: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-на первую очередь запланирована реконструкция существующей теплотрассы Центральной части Борзи и западной (теплосети «Модульной котельной», после проведения энерго-аудита, проверочного расчета теплосетей);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-на перспективу предусмотрено устройство резервирующих перемычек. обеспечивающих, в случае аварии, подачу тепловой энергии: 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-от новой Восточной котельной – в теплосеть Центральной котельной;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-от новой котельной «Западная» – в теплосеть Модульной котельной.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данном проекте предусмотрены мероприятия для обеспечения надёжности в процессе эксплуатации теплосетей и котельного оборудования.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Перечень мероприятий сведён в таблицу (см. приложение № 7).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Стоимость проведения мероприятий учтена в разделе № 7.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данном проекте предусмотрены мероприятия для обеспечения надёжности в процессе эксплуатации теплосетей и котельного оборудования.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Перечень мероприятий сведён в таблицы (см. Приложение № 7).</w:t>
      </w:r>
    </w:p>
    <w:p>
      <w:pPr>
        <w:sectPr>
          <w:footerReference w:type="default" r:id="rId36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Стоимость проведения мероприятий учтена в разделе № 7.3.</w:t>
      </w:r>
    </w:p>
    <w:p>
      <w:pPr>
        <w:pStyle w:val="Normal"/>
        <w:spacing w:lineRule="auto" w:line="276"/>
        <w:ind w:left="1069" w:right="28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5.5. Комплексная диспетчеризация систем инженерного оборудования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Для повышения качества эксплуатации системы теплоснабжения предусматривается устройство диспетчерских служб.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Диспетчерская служба выполняет следующие функции: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А) собирает и обрабатывает информацию о режимах работы инженерного оборудования зданий и микрорайонов;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Б) непосредственно управляет работой инженерного оборудования (включение, отключение, авторегулирование подачи теплоты);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В) контролирует состояние служебных помещений (затопление подвалов);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Г) организует работы по устранению неисправностей персоналом эксплуатационной службы района, либо обеспечивает, при необходимости вызов общегородских аварийных или специальных служб.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Диспетчерский пункт связан с объектами каналами связи.</w:t>
      </w:r>
    </w:p>
    <w:p>
      <w:p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объектах установлены датчики технологических параметров.</w:t>
      </w:r>
    </w:p>
    <w:p>
      <w:pPr>
        <w:sectPr>
          <w:footerReference w:type="default" r:id="rId37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ind w:firstLine="106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диспетчерском пункте расположены аппаратура управления объектами и отображение информации (пункт диспетчера с ключами управления, измерительными приборами и индификаторами.</w:t>
      </w:r>
    </w:p>
    <w:p>
      <w:pPr>
        <w:pStyle w:val="111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43" w:name="_Toc21181495"/>
      <w:bookmarkStart w:id="44" w:name="_Toc21181567"/>
      <w:bookmarkStart w:id="45" w:name="_Toc21181662"/>
      <w:bookmarkStart w:id="46" w:name="_Toc21181792"/>
      <w:bookmarkStart w:id="47" w:name="_Toc21182112"/>
      <w:bookmarkStart w:id="48" w:name="_Toc21182213"/>
      <w:bookmarkStart w:id="49" w:name="_Toc21182321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6. Перспективные топливные балансы</w:t>
      </w:r>
      <w:bookmarkEnd w:id="43"/>
      <w:bookmarkEnd w:id="44"/>
      <w:bookmarkEnd w:id="45"/>
      <w:bookmarkEnd w:id="46"/>
      <w:bookmarkEnd w:id="47"/>
      <w:bookmarkEnd w:id="48"/>
      <w:bookmarkEnd w:id="49"/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перспективу для сохраняемых в работе и новых теплоисточников города основным топливом предлагается использовать бурый уголь.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Для котельных города на перспективу сохранён существующий топливный режим, то есть без резервного топлива.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Топливо для котельных поступает в город Борзю железнодорожным транспортом на склад  ОАО  РЖД и развозится автотранспортом по котельным.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перспективу учтена стоимость прокладки железнодорожной линии с устройством эстакады и склада угля для новых котельных.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Перспективные топливные балансы по теплоисточникам города Борзя представлены в таблице 6.1.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Таблица 6.1 Перспективные топливные балансы по теплоисточникам города</w:t>
      </w:r>
    </w:p>
    <w:tbl>
      <w:tblPr>
        <w:tblW w:w="9190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56"/>
        <w:gridCol w:w="2234"/>
        <w:gridCol w:w="2126"/>
        <w:gridCol w:w="3273"/>
      </w:tblGrid>
      <w:tr>
        <w:trPr>
          <w:trHeight w:val="848" w:hRule="atLeast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Источники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Максимально часовой расход топлива, тонн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Вид основного топлива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Годовой расход топлива, тысяч тонн  натурального  топлива, тонн</w:t>
            </w:r>
          </w:p>
        </w:tc>
      </w:tr>
      <w:tr>
        <w:trPr/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«Госпиталь»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4,6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Уголь бурый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275</w:t>
            </w:r>
          </w:p>
        </w:tc>
      </w:tr>
      <w:tr>
        <w:trPr/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Центральная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Уголь бурый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750</w:t>
            </w:r>
          </w:p>
        </w:tc>
      </w:tr>
      <w:tr>
        <w:trPr/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Модульная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Уголь бурый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270</w:t>
            </w:r>
          </w:p>
        </w:tc>
      </w:tr>
      <w:tr>
        <w:trPr/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Восточная (блок-1)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Уголь бурый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482,5</w:t>
            </w:r>
          </w:p>
        </w:tc>
      </w:tr>
      <w:tr>
        <w:trPr/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Восточная (блок-2)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Уголь бурый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482,5</w:t>
            </w:r>
          </w:p>
        </w:tc>
      </w:tr>
      <w:tr>
        <w:trPr/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Западная (блок-1)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Уголь бурый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482,5</w:t>
            </w:r>
          </w:p>
        </w:tc>
      </w:tr>
      <w:tr>
        <w:trPr/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Западная (блок-2)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Уголь бурый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965</w:t>
            </w:r>
          </w:p>
        </w:tc>
      </w:tr>
      <w:tr>
        <w:trPr/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61,6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3707,5</w:t>
            </w:r>
          </w:p>
        </w:tc>
      </w:tr>
    </w:tbl>
    <w:p>
      <w:pPr>
        <w:sectPr>
          <w:footerReference w:type="default" r:id="rId38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11"/>
        <w:spacing w:lineRule="auto" w:line="276"/>
        <w:rPr>
          <w:rFonts w:ascii="Times New Roman" w:hAnsi="Times New Roman" w:eastAsia="Times New Roman" w:cs="Times New Roman"/>
          <w:b/>
          <w:b/>
          <w:color w:val="000000" w:themeColor="text1"/>
          <w:sz w:val="28"/>
          <w:szCs w:val="28"/>
          <w:lang w:val="ru-RU" w:eastAsia="ar-SA"/>
        </w:rPr>
      </w:pPr>
      <w:bookmarkStart w:id="50" w:name="_Toc21181496"/>
      <w:bookmarkStart w:id="51" w:name="_Toc21181568"/>
      <w:bookmarkStart w:id="52" w:name="_Toc21181663"/>
      <w:bookmarkStart w:id="53" w:name="_Toc21181793"/>
      <w:bookmarkStart w:id="54" w:name="_Toc21182113"/>
      <w:bookmarkStart w:id="55" w:name="_Toc21182214"/>
      <w:bookmarkStart w:id="56" w:name="_Toc21182322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7 «Инвестиции в строительство, реконструкцию и техническое перевооружение» содержит:</w:t>
      </w:r>
      <w:bookmarkEnd w:id="50"/>
      <w:bookmarkEnd w:id="51"/>
      <w:bookmarkEnd w:id="52"/>
      <w:bookmarkEnd w:id="53"/>
      <w:bookmarkEnd w:id="54"/>
      <w:bookmarkEnd w:id="55"/>
      <w:bookmarkEnd w:id="56"/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069" w:hanging="0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5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Проведённые при разработке Схемы расчёты показали, что тепловые нагрузки вводимых в эксплуатацию новых объектов капитального строительства не могут быть обеспечены от существующих теплоисточников и тепловых сетей без их существенной реконструкции, так как пропускной способности существующих сетей и установленной тепловой мощности котельных недостаточно  для обеспечения планируемых к присоединению нагрузок.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5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Необходимо строительство новых котельных и теплосетевых объектов.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5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тоже время, выполнение указанных подключений, так и дальнейшая эксплуатация системы теплоснабжения города невозможны без проведения неотложных работ, связанных с заменой изношенных тепловых сетей и модернизацией котельных. Эксплуатация системы теплоснабжения, без решения насущных задач, постепенно приведёт к существенному снижению резерва пропускной способности тепловых сетей, резерва тепловой мощности котельных, надёжности работы всей системы, а также может привести к аварийным отключениям, как существующих потребителей тепла, так и вновь присоединяемых.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5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Для поддержания требуемых у потребителей параметров теплоносителя, учитывая фактическое техническое состояние и высокую степень износа установленного в городе котельного оборудования, а также для решения задачи по минимизации затрат на теплоснабжение в расчёте на каждого потребителя в долгосрочной перспективе, требуется реконструкция и техническое перевооружение рассматриваемых объектов.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5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5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Оценка финансовых потребностей для реализации проектов</w:t>
      </w:r>
    </w:p>
    <w:p>
      <w:pPr>
        <w:sectPr>
          <w:footerReference w:type="default" r:id="rId39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08"/>
          <w:tab w:val="left" w:pos="-284" w:leader="none"/>
        </w:tabs>
        <w:spacing w:lineRule="auto" w:line="276"/>
        <w:ind w:firstLine="425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Для установления стоимости объектов строительства систем теплоснабжения использовались данные проектов-аналогов, завершённых строительством на территории поселения. Результаты оценки стоимости строительства и реконструкции объектов теплоснабжения необходимо уточнять при разработке рабочего проекта котельных.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5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069" w:hang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Таблица 7.1. Предложения по величине необходимых инвестиций нового строительства объектов теплоснабжения</w:t>
      </w:r>
    </w:p>
    <w:tbl>
      <w:tblPr>
        <w:tblW w:w="9446" w:type="dxa"/>
        <w:jc w:val="left"/>
        <w:tblInd w:w="-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4"/>
        <w:gridCol w:w="2692"/>
        <w:gridCol w:w="880"/>
        <w:gridCol w:w="876"/>
        <w:gridCol w:w="880"/>
        <w:gridCol w:w="877"/>
        <w:gridCol w:w="880"/>
        <w:gridCol w:w="13"/>
        <w:gridCol w:w="865"/>
        <w:gridCol w:w="918"/>
      </w:tblGrid>
      <w:tr>
        <w:trPr/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</w:r>
          </w:p>
        </w:tc>
        <w:tc>
          <w:tcPr>
            <w:tcW w:w="44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1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/>
        <w:tc>
          <w:tcPr>
            <w:tcW w:w="5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2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Новое строительство-всего: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925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Центральная часть                  г. Борзи, всего: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380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</w:tr>
      <w:tr>
        <w:trPr>
          <w:trHeight w:val="1112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Строительство тепловых сетей (1-я очередь)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380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</w:tr>
      <w:tr>
        <w:trPr>
          <w:trHeight w:val="1132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Восточная часть                        г. Борзи, всего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896</w:t>
            </w:r>
          </w:p>
        </w:tc>
      </w:tr>
      <w:tr>
        <w:trPr>
          <w:trHeight w:val="1261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Строительство Восточной котельной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470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596</w:t>
            </w:r>
          </w:p>
        </w:tc>
      </w:tr>
      <w:tr>
        <w:trPr>
          <w:trHeight w:val="1124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Строительство тепловых сетей (2-я очередь) восточной малоэтажной застройки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</w:tr>
      <w:tr>
        <w:trPr>
          <w:trHeight w:val="988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Западная часть                          г. Борзи, всего: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1258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Строительство Западной котельной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269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>
          <w:trHeight w:val="85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Строительство тепловых сетей в районе  мкр. 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«Борзя-2»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>
          <w:trHeight w:val="84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Строительство тепловых сетей новой жилой застройки по                                  ул. 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Победы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Система диспетчеризации,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Диспетчерский пункт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617</w:t>
            </w:r>
          </w:p>
        </w:tc>
      </w:tr>
    </w:tbl>
    <w:p>
      <w:pPr>
        <w:sectPr>
          <w:footerReference w:type="default" r:id="rId40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1069" w:hang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Таблица 7.2. Предложения по величине необходимых инвестиций в реконструкцию существующих объектов теплоснабжения</w:t>
      </w:r>
    </w:p>
    <w:tbl>
      <w:tblPr>
        <w:tblW w:w="9645" w:type="dxa"/>
        <w:jc w:val="left"/>
        <w:tblInd w:w="-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9"/>
        <w:gridCol w:w="2564"/>
        <w:gridCol w:w="776"/>
        <w:gridCol w:w="695"/>
        <w:gridCol w:w="706"/>
        <w:gridCol w:w="830"/>
        <w:gridCol w:w="830"/>
        <w:gridCol w:w="3"/>
        <w:gridCol w:w="1338"/>
        <w:gridCol w:w="1343"/>
      </w:tblGrid>
      <w:tr>
        <w:trPr>
          <w:trHeight w:val="308" w:hRule="atLeast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</w:r>
          </w:p>
        </w:tc>
        <w:tc>
          <w:tcPr>
            <w:tcW w:w="2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</w:r>
          </w:p>
        </w:tc>
        <w:tc>
          <w:tcPr>
            <w:tcW w:w="3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Перспектива</w:t>
            </w:r>
          </w:p>
        </w:tc>
      </w:tr>
      <w:tr>
        <w:trPr>
          <w:trHeight w:val="308" w:hRule="atLeast"/>
        </w:trPr>
        <w:tc>
          <w:tcPr>
            <w:tcW w:w="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25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2021-2025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2026-2030</w:t>
            </w:r>
          </w:p>
        </w:tc>
      </w:tr>
      <w:tr>
        <w:trPr>
          <w:trHeight w:val="1544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Реконструкция, всего: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 том числе: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570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650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1650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2100</w:t>
            </w:r>
          </w:p>
        </w:tc>
      </w:tr>
      <w:tr>
        <w:trPr>
          <w:trHeight w:val="906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.1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Зона действия котельной «Госпиталь»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550</w:t>
            </w:r>
          </w:p>
        </w:tc>
      </w:tr>
      <w:tr>
        <w:trPr>
          <w:trHeight w:val="1251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-реконструкция котельной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</w:t>
            </w:r>
          </w:p>
        </w:tc>
      </w:tr>
      <w:tr>
        <w:trPr>
          <w:trHeight w:val="1090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Переоборудование котельной в ЦТП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1090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1.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-реконструкция тепловых сетей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>
        <w:trPr>
          <w:trHeight w:val="1109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Зона действия Центральной котельной 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всего: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800</w:t>
            </w:r>
          </w:p>
        </w:tc>
      </w:tr>
      <w:tr>
        <w:trPr>
          <w:trHeight w:val="1236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-реконструкция котельной с увеличением мощности до 45 Гкал/час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</w:tr>
      <w:tr>
        <w:trPr>
          <w:trHeight w:val="1101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-реконструкция тепловых сетей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</w:tr>
      <w:tr>
        <w:trPr>
          <w:trHeight w:val="968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Зона действия Модульной  котельной 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Всего: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750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750</w:t>
            </w:r>
          </w:p>
        </w:tc>
      </w:tr>
      <w:tr>
        <w:trPr>
          <w:trHeight w:val="697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-реконструкция котельной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350</w:t>
            </w:r>
          </w:p>
        </w:tc>
      </w:tr>
      <w:tr>
        <w:trPr>
          <w:trHeight w:val="526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-реконструкция тепловых сетей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</w:t>
            </w:r>
          </w:p>
        </w:tc>
      </w:tr>
      <w:tr>
        <w:trPr>
          <w:trHeight w:val="957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 целом по городу, всего: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285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407</w:t>
            </w:r>
          </w:p>
        </w:tc>
      </w:tr>
      <w:tr>
        <w:trPr>
          <w:trHeight w:val="823" w:hRule="atLeast"/>
        </w:trPr>
        <w:tc>
          <w:tcPr>
            <w:tcW w:w="55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256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-разработка Схемы теплоснабжения</w:t>
            </w:r>
          </w:p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7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1,78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3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3,0</w:t>
            </w:r>
          </w:p>
        </w:tc>
        <w:tc>
          <w:tcPr>
            <w:tcW w:w="1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4,0</w:t>
            </w:r>
          </w:p>
        </w:tc>
      </w:tr>
      <w:tr>
        <w:trPr>
          <w:trHeight w:val="1544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-проведение энергоаудита существующих котельных и теплосетей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3,0</w:t>
            </w:r>
          </w:p>
        </w:tc>
      </w:tr>
      <w:tr>
        <w:trPr>
          <w:trHeight w:val="2068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-проведение мероприятий по предотвращению аварийных ситуаций  по зонам действия существующих котельных, всего: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37,5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</w:tr>
      <w:tr>
        <w:trPr>
          <w:trHeight w:val="3426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Проведение мероприятий по сокращению потерь теплоносителя – устройство систем горячего водоснабжения в отапливаемых малоэтажных домах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>
        <w:trPr>
          <w:trHeight w:val="2470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Проведение мероприятий по снижению расхода тепловой энергии, модернизация индивидуальных пунктов, установка теплосчётчиков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9,22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>
        <w:trPr>
          <w:trHeight w:val="692" w:hRule="atLeas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 xml:space="preserve">Перекладка магистральных тепловых сетей с увеличением их диаметра. от центральной котельной №1 до тепловой камеры УТ-7, расположенной ул.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Матросова.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50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30</w:t>
            </w:r>
          </w:p>
        </w:tc>
      </w:tr>
    </w:tbl>
    <w:p>
      <w:pPr>
        <w:sectPr>
          <w:footerReference w:type="default" r:id="rId41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 xml:space="preserve">Перечень мероприятий по надёжности теплоснабжения 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в целом по городу</w:t>
      </w:r>
    </w:p>
    <w:p>
      <w:pPr>
        <w:pStyle w:val="Normal"/>
        <w:spacing w:lineRule="auto" w:line="27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Таблица № 7.3</w:t>
      </w:r>
    </w:p>
    <w:tbl>
      <w:tblPr>
        <w:tblW w:w="965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2"/>
        <w:gridCol w:w="2058"/>
        <w:gridCol w:w="1922"/>
        <w:gridCol w:w="2004"/>
        <w:gridCol w:w="1050"/>
        <w:gridCol w:w="1050"/>
        <w:gridCol w:w="1052"/>
      </w:tblGrid>
      <w:tr>
        <w:trPr/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Сокращение потерь вырабатываемой тепловой энергии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Ориентировочная стоимость проведения мероприятий </w:t>
            </w:r>
          </w:p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В том числе по этапам:</w:t>
            </w:r>
          </w:p>
        </w:tc>
      </w:tr>
      <w:tr>
        <w:trPr/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20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9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20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2016-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 г.г.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2025 г.г.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2030 г.г.</w:t>
            </w:r>
          </w:p>
        </w:tc>
      </w:tr>
      <w:tr>
        <w:trPr/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20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% Гкал в год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млн.руб.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млн.руб.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млн.руб.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млн.руб.</w:t>
            </w:r>
          </w:p>
        </w:tc>
      </w:tr>
      <w:tr>
        <w:trPr/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Проведение энергоаудита существующих котельных и теплосети в целях выявления причин возникновения аварийных ситуаций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3 %/300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2,5</w:t>
            </w:r>
          </w:p>
        </w:tc>
      </w:tr>
      <w:tr>
        <w:trPr/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Проведение мероприятий по предотвращению аварийных ситуаций на теплосетях и в котельных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5 %/300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100,2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15,2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>
        <w:trPr/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Данные ООО «Коммунальник» (инвестиционная программа 2016-2018 г.г.)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Капитальный ремонт теплообменников ЦК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0,45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0,25</w:t>
            </w:r>
          </w:p>
        </w:tc>
      </w:tr>
      <w:tr>
        <w:trPr/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Монтаж шкафов управления с частотными преобразователями насосной группы второго контура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1,92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0,48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0,96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0,48</w:t>
            </w:r>
          </w:p>
        </w:tc>
      </w:tr>
      <w:tr>
        <w:trPr/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Реконструкция топливоподачи первого и второго подъёма, здания пересыпки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Капитальный ремонт шлакозолоудаления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3.5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Капитальный ремонт теплотрасс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</w:tbl>
    <w:p>
      <w:pPr>
        <w:pStyle w:val="Normal"/>
        <w:spacing w:lineRule="auto" w:line="276"/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  <w:lang w:eastAsia="ar-SA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 xml:space="preserve">Перечень мероприятий по энергосбережению теплоснабжения 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в целом по городу</w:t>
      </w:r>
    </w:p>
    <w:p>
      <w:pPr>
        <w:pStyle w:val="Normal"/>
        <w:spacing w:lineRule="auto" w:line="27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Таблица № 7.4</w:t>
      </w:r>
    </w:p>
    <w:tbl>
      <w:tblPr>
        <w:tblW w:w="965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1"/>
        <w:gridCol w:w="1964"/>
        <w:gridCol w:w="1907"/>
        <w:gridCol w:w="2012"/>
        <w:gridCol w:w="1081"/>
        <w:gridCol w:w="1081"/>
        <w:gridCol w:w="1082"/>
      </w:tblGrid>
      <w:tr>
        <w:trPr/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Доля (%) сокращения потерь вырабатываемой тепловой энергии</w:t>
            </w:r>
          </w:p>
        </w:tc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Ориентировочная стоимость проведения мероприятий 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 том числе по этапам:</w:t>
            </w:r>
          </w:p>
        </w:tc>
      </w:tr>
      <w:tr>
        <w:trPr/>
        <w:tc>
          <w:tcPr>
            <w:tcW w:w="5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9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20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2016-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2020 г.г.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2021-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2025 г.г.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2026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2030 г.г.</w:t>
            </w:r>
          </w:p>
        </w:tc>
      </w:tr>
      <w:tr>
        <w:trPr/>
        <w:tc>
          <w:tcPr>
            <w:tcW w:w="5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% Гкал в год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млн.руб.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млн.руб.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млн.руб.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млн.руб.</w:t>
            </w:r>
          </w:p>
        </w:tc>
      </w:tr>
      <w:tr>
        <w:trPr/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Проведение мероприятий по сокращению потерь теплоносителя (устройство системы горячего водоснабжения в малоэтажной застройке)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2 %/2000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270</w:t>
            </w:r>
          </w:p>
        </w:tc>
      </w:tr>
      <w:tr>
        <w:trPr/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Проведение мероприятий по снижению расходов тепловой энергии, модернизация индивидуальных тепловых пунктов, установка теплосчётчиков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3 %/3000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>
        <w:trPr/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Проведение мероприятий по сокращению потерь тепловой энергии через изоляцию существующих теплосетей (замена теплоизоляции на ППУ)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5 %/5000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Проведение мероприятий по снижению потерь (утечек) теплоносителя (замена трубопроводов существующей теплотрассы)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3 %/3000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Данные ООО «Коммунальник» (инвестиционная программа -2016+-2018 гг.)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Установка теплосчётчиков на котельной: Модульная, Госпиталь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1,04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Установка электронных водомеров 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US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-800 на котельных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0,66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sectPr>
          <w:footerReference w:type="default" r:id="rId42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  <w:lang w:eastAsia="ar-SA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 xml:space="preserve">Перечень мероприятий по энергоэффективности теплоснабжения 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в целом по городу</w:t>
      </w:r>
    </w:p>
    <w:p>
      <w:pPr>
        <w:pStyle w:val="Normal"/>
        <w:spacing w:lineRule="auto" w:line="27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Таблица № 7.5</w:t>
      </w:r>
    </w:p>
    <w:tbl>
      <w:tblPr>
        <w:tblW w:w="988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2"/>
        <w:gridCol w:w="1940"/>
        <w:gridCol w:w="2011"/>
        <w:gridCol w:w="2097"/>
        <w:gridCol w:w="1096"/>
        <w:gridCol w:w="1096"/>
        <w:gridCol w:w="1101"/>
      </w:tblGrid>
      <w:tr>
        <w:trPr/>
        <w:tc>
          <w:tcPr>
            <w:tcW w:w="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Сокращение потерь вырабатываемой тепловой энергии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Ориентировочная стоимость проведения мероприятий </w:t>
            </w:r>
          </w:p>
        </w:tc>
        <w:tc>
          <w:tcPr>
            <w:tcW w:w="3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В том числе по этапам:</w:t>
            </w:r>
          </w:p>
        </w:tc>
      </w:tr>
      <w:tr>
        <w:trPr/>
        <w:tc>
          <w:tcPr>
            <w:tcW w:w="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9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20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val="ru-RU"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val="ru-RU" w:eastAsia="ar-SA"/>
              </w:rPr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2016-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2020 г.г.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2021-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2025 г.г.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2026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2030 г.г.</w:t>
            </w:r>
          </w:p>
        </w:tc>
      </w:tr>
      <w:tr>
        <w:trPr/>
        <w:tc>
          <w:tcPr>
            <w:tcW w:w="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19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% Гкал в год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млн.руб.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млн.руб.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млн.руб.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млн.руб.</w:t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Разработка схемы теплоснабжения ГП Борзя и её актуализации в целях рационального использования энерго- и других ресурсов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0,5 %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1,8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2,8</w:t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Проведение диспетчеризации, строительство пунктов наблюдения и управления системой теплоснабжения с учётом программного обеспечения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1 %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</w:t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Данные ООО «Коммунаьник» (из инвестиционной программы 2016-2018 г.г.) 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Всего, в том числе: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Диспетчеризация приборов учёта тепла и эл.энергии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0,27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0,27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Выполнение проекта реконструкции Центральной котельной (замена котла № 1)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Выполнение проекта реконструкции котельной Госпиталь и теплосетей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5,5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5,5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sectPr>
          <w:footerReference w:type="default" r:id="rId43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11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57" w:name="_Toc21181497"/>
      <w:bookmarkStart w:id="58" w:name="_Toc21181569"/>
      <w:bookmarkStart w:id="59" w:name="_Toc21181664"/>
      <w:bookmarkStart w:id="60" w:name="_Toc21181794"/>
      <w:bookmarkStart w:id="61" w:name="_Toc21182114"/>
      <w:bookmarkStart w:id="62" w:name="_Toc21182215"/>
      <w:bookmarkStart w:id="63" w:name="_Toc21182323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8. Решение об определении единой теплоснабжающей организации (организаций)</w:t>
      </w:r>
      <w:bookmarkEnd w:id="57"/>
      <w:bookmarkEnd w:id="58"/>
      <w:bookmarkEnd w:id="59"/>
      <w:bookmarkEnd w:id="60"/>
      <w:bookmarkEnd w:id="61"/>
      <w:bookmarkEnd w:id="62"/>
      <w:bookmarkEnd w:id="63"/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соответствии с пунктом 28 статьи 2 Федерального закона от 27.07.2010 № 190-ФЗ «О теплоснабжении»: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«Единая теплоснабжающая организация в системе теплоснабжения –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утверждёнными Правительством Российской Федерации.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проекте схемы теплоснабжения должны быть определены границы зон деятельности единой теплоснабжающей организации. Границы зоны деятельности единой теплоснабжающей организации определяются границами системы теплоснабжения, в отношении которой присваивается соответствующий статус.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Критерии определения единой теплоснабжающей организации: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 и оперативному управлению гидравлическими режимами, что обосновывается в схеме теплоснабжения.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Единая теплоснабжающая организация </w:t>
      </w:r>
      <w:r>
        <w:rPr>
          <w:rStyle w:val="Strong"/>
          <w:rFonts w:cs="Times New Roman" w:ascii="Times New Roman" w:hAnsi="Times New Roman"/>
          <w:b w:val="false"/>
          <w:color w:val="000000" w:themeColor="text1"/>
          <w:sz w:val="28"/>
          <w:szCs w:val="28"/>
          <w:shd w:fill="FFFFFF" w:val="clear"/>
          <w:lang w:val="ru-RU"/>
        </w:rPr>
        <w:t>АО «ЗабТЭК»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обязана: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>
      <w:pPr>
        <w:sectPr>
          <w:footerReference w:type="default" r:id="rId44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-осуществлять контроль режимов потребления тепловой энергии в зоне своей деятельности.</w:t>
      </w:r>
    </w:p>
    <w:p>
      <w:pPr>
        <w:pStyle w:val="111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64" w:name="_Toc21181498"/>
      <w:bookmarkStart w:id="65" w:name="_Toc21181570"/>
      <w:bookmarkStart w:id="66" w:name="_Toc21181665"/>
      <w:bookmarkStart w:id="67" w:name="_Toc21181795"/>
      <w:bookmarkStart w:id="68" w:name="_Toc21182115"/>
      <w:bookmarkStart w:id="69" w:name="_Toc21182216"/>
      <w:bookmarkStart w:id="70" w:name="_Toc21182324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9 «Решения о распределении тепловой нагрузки между источниками тепловой энергии»</w:t>
      </w:r>
      <w:bookmarkEnd w:id="64"/>
      <w:bookmarkEnd w:id="65"/>
      <w:bookmarkEnd w:id="66"/>
      <w:bookmarkEnd w:id="67"/>
      <w:bookmarkEnd w:id="68"/>
      <w:bookmarkEnd w:id="69"/>
      <w:bookmarkEnd w:id="70"/>
    </w:p>
    <w:p>
      <w:pPr>
        <w:pStyle w:val="Normal"/>
        <w:tabs>
          <w:tab w:val="clear" w:pos="708"/>
          <w:tab w:val="left" w:pos="-284" w:leader="none"/>
        </w:tabs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 xml:space="preserve">9.1. 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западной части г. Борзя теплоснабжение объектов микрорайона «Борзя-2» осуществляется от Модульной котельной.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перспективу, предусматривается подключение потребителей этого микрорайона к котельной «Западная», ввод которой планируется на 2023 год. Тепловая мощность, потребляемая объектами «Борзя-2» будет использована на теплоснабжение новой застройки.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9.2. Котельная «Госпиталь» расположена в непосредственной близости к жилым домам и к зданию «Госпиталь». На перспективу проектом предусматривается переоборудовать данную котельную в ЦТП, теплоснабжение потребителей будет осуществляется от новой котельной «Восточная».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9.3. Теплоснабжение новой малоэтажной застройки, а также общественных зданий будет осуществляться от Восточной котельной.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sectPr>
          <w:footerReference w:type="default" r:id="rId45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08"/>
          <w:tab w:val="left" w:pos="-284" w:leader="none"/>
        </w:tabs>
        <w:spacing w:lineRule="auto" w:line="276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9.4. Для размещения площадок строительства зданий новой жилой и общественной застройки необходимо разработать проект планировки.</w:t>
      </w:r>
    </w:p>
    <w:p>
      <w:pPr>
        <w:pStyle w:val="111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71" w:name="_Toc21181499"/>
      <w:bookmarkStart w:id="72" w:name="_Toc21181571"/>
      <w:bookmarkStart w:id="73" w:name="_Toc21181666"/>
      <w:bookmarkStart w:id="74" w:name="_Toc21181796"/>
      <w:bookmarkStart w:id="75" w:name="_Toc21182116"/>
      <w:bookmarkStart w:id="76" w:name="_Toc21182217"/>
      <w:bookmarkStart w:id="77" w:name="_Toc21182325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10 «Решения по бесхозяйным тепловым сетям»</w:t>
      </w:r>
      <w:bookmarkEnd w:id="71"/>
      <w:bookmarkEnd w:id="72"/>
      <w:bookmarkEnd w:id="73"/>
      <w:bookmarkEnd w:id="74"/>
      <w:bookmarkEnd w:id="75"/>
      <w:bookmarkEnd w:id="76"/>
      <w:bookmarkEnd w:id="77"/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567" w:firstLine="142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 xml:space="preserve">10.1. 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>В соответствии с пунктом 6 статьи 15 ФЗ от 27.07.2010 года № 190-ФЗ «О теплоснабжении» в случае выявления бесхозяйных тепловых сетей (тепловых сетей, не имеющих эксплуатирующей организации) необходимо определить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бесхозяйственных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 xml:space="preserve">10.2. 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>На основании исходных данных (письмо № 1066 от 09.06.2015 г.), предоставленных Администрацией городского поселения «Борзинское» на территории г. Борзя выявлены безхозяйственные тепловые сети.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>Список безхозяйственных тепловых сетей, отдельно по каждой котельной приведён в таблицах № 10.1; 10.2; 10.3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Таблица 10.1</w:t>
      </w:r>
    </w:p>
    <w:tbl>
      <w:tblPr>
        <w:tblW w:w="93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33"/>
        <w:gridCol w:w="1838"/>
        <w:gridCol w:w="1851"/>
      </w:tblGrid>
      <w:tr>
        <w:trPr/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Список безхозяйных тепловых сетей, присоединённых к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Модульной котельной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Наименование участка тепловой сети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Диаметр, мм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Длина, м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Кирова, 61,63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587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Кирова, 62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Дзерржинского 5,7,9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267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Свердлова 28, кВ.1-12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Дзержинского, 11,46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Промышленная, 11а, 11б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121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Пер.Переездный, 2б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Пер.Переездный. 13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Пер.Восточный. 8,12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63</w:t>
            </w:r>
          </w:p>
        </w:tc>
      </w:tr>
    </w:tbl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eastAsia="Calibri" w:cs="Times New Roman"/>
          <w:b/>
          <w:b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b/>
          <w:color w:val="000000" w:themeColor="text1"/>
          <w:sz w:val="28"/>
          <w:szCs w:val="28"/>
          <w:lang w:eastAsia="ar-SA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Таблица 10.2</w:t>
      </w:r>
    </w:p>
    <w:tbl>
      <w:tblPr>
        <w:tblW w:w="93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33"/>
        <w:gridCol w:w="1838"/>
        <w:gridCol w:w="1851"/>
      </w:tblGrid>
      <w:tr>
        <w:trPr/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Список безхозяйных тепловых сетей, присоединённых к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котельной Госпиталь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Наименование участка тепловой сети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Диаметр, мм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Длина, м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Лазо,63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140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Лазо МЖК, 63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52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Лазо,55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Лазо,51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Лазо,51а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Лазо,98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Лазо,92,94а,94Б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138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Ленина, 59а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115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Метелицы, 3,5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Железнодорожная 43,63,64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63</w:t>
            </w:r>
          </w:p>
        </w:tc>
      </w:tr>
    </w:tbl>
    <w:p>
      <w:pPr>
        <w:pStyle w:val="Normal"/>
        <w:tabs>
          <w:tab w:val="clear" w:pos="708"/>
          <w:tab w:val="left" w:pos="-284" w:leader="none"/>
        </w:tabs>
        <w:spacing w:lineRule="auto" w:line="27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jc w:val="right"/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ar-SA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Таблица 10.3</w:t>
      </w:r>
    </w:p>
    <w:tbl>
      <w:tblPr>
        <w:tblW w:w="93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33"/>
        <w:gridCol w:w="1838"/>
        <w:gridCol w:w="1851"/>
      </w:tblGrid>
      <w:tr>
        <w:trPr/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Список безхозяйных тепловых сетей, присоединённых к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Центральной котельной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Наименование участка тепловой сети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Диаметр, мм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Длина, м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Чайковского,3а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67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Савватеевская, 29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Савватеевская, 3,7,9,28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115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Журавлёва, 3а,3б,3к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145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Метелицы 7,11,19а,19б,15,21а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220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Пушкина, 48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Советская,76,81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Гурьева, 16а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65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Парфёнова 27,28,28а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180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Богдана Хмельницкого, 88,88г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211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Карла Маркса, 122а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>
        <w:trPr/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Бульварная,5,9,11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-284" w:leader="none"/>
              </w:tabs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172</w:t>
            </w:r>
          </w:p>
        </w:tc>
      </w:tr>
    </w:tbl>
    <w:p>
      <w:pPr>
        <w:sectPr>
          <w:footerReference w:type="default" r:id="rId46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11"/>
        <w:spacing w:lineRule="auto" w:line="276"/>
        <w:rPr>
          <w:rFonts w:ascii="Times New Roman" w:hAnsi="Times New Roman" w:eastAsia="Times New Roman" w:cs="Times New Roman"/>
          <w:b/>
          <w:b/>
          <w:color w:val="000000" w:themeColor="text1"/>
          <w:sz w:val="28"/>
          <w:szCs w:val="28"/>
          <w:lang w:eastAsia="ar-SA"/>
        </w:rPr>
      </w:pPr>
      <w:bookmarkStart w:id="78" w:name="_Toc21181500"/>
      <w:bookmarkStart w:id="79" w:name="_Toc21181572"/>
      <w:bookmarkStart w:id="80" w:name="_Toc21181667"/>
      <w:bookmarkStart w:id="81" w:name="_Toc21181797"/>
      <w:bookmarkStart w:id="82" w:name="_Toc21182117"/>
      <w:bookmarkStart w:id="83" w:name="_Toc21182218"/>
      <w:bookmarkStart w:id="84" w:name="_Toc21182326"/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Раздел 11. Энергосбережение</w:t>
      </w:r>
      <w:bookmarkEnd w:id="78"/>
      <w:bookmarkEnd w:id="79"/>
      <w:bookmarkEnd w:id="80"/>
      <w:bookmarkEnd w:id="81"/>
      <w:bookmarkEnd w:id="82"/>
      <w:bookmarkEnd w:id="83"/>
      <w:bookmarkEnd w:id="84"/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соответствии с ФЗ № 261 от 23.11.2009 г. (с изм. от 25.12.2012 г.) проектом предусматриваются мероприятия по энергосбережению, с целью создания основ стимулирования: правовых, экономических и организационных.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Энергосбережение основывается на принципах:</w:t>
      </w:r>
    </w:p>
    <w:p>
      <w:pPr>
        <w:pStyle w:val="Normal"/>
        <w:widowControl/>
        <w:numPr>
          <w:ilvl w:val="0"/>
          <w:numId w:val="4"/>
        </w:numPr>
        <w:tabs>
          <w:tab w:val="clear" w:pos="708"/>
          <w:tab w:val="left" w:pos="-284" w:leader="none"/>
        </w:tabs>
        <w:suppressAutoHyphens w:val="true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Рациональное использование </w:t>
      </w:r>
    </w:p>
    <w:p>
      <w:pPr>
        <w:pStyle w:val="Normal"/>
        <w:widowControl/>
        <w:numPr>
          <w:ilvl w:val="0"/>
          <w:numId w:val="4"/>
        </w:numPr>
        <w:tabs>
          <w:tab w:val="clear" w:pos="708"/>
          <w:tab w:val="left" w:pos="-284" w:leader="none"/>
        </w:tabs>
        <w:suppressAutoHyphens w:val="true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Поддержка и стимулирование </w:t>
      </w:r>
    </w:p>
    <w:p>
      <w:pPr>
        <w:pStyle w:val="Normal"/>
        <w:widowControl/>
        <w:numPr>
          <w:ilvl w:val="0"/>
          <w:numId w:val="4"/>
        </w:numPr>
        <w:tabs>
          <w:tab w:val="clear" w:pos="708"/>
          <w:tab w:val="left" w:pos="-284" w:leader="none"/>
        </w:tabs>
        <w:suppressAutoHyphens w:val="true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Системность и комплексность проведения мероприятий по энергосбережению</w:t>
      </w:r>
    </w:p>
    <w:p>
      <w:pPr>
        <w:pStyle w:val="Normal"/>
        <w:widowControl/>
        <w:numPr>
          <w:ilvl w:val="0"/>
          <w:numId w:val="4"/>
        </w:numPr>
        <w:tabs>
          <w:tab w:val="clear" w:pos="708"/>
          <w:tab w:val="left" w:pos="-284" w:leader="none"/>
        </w:tabs>
        <w:suppressAutoHyphens w:val="true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Планирование энергосбережения </w:t>
      </w:r>
    </w:p>
    <w:p>
      <w:pPr>
        <w:pStyle w:val="Normal"/>
        <w:widowControl/>
        <w:numPr>
          <w:ilvl w:val="0"/>
          <w:numId w:val="4"/>
        </w:numPr>
        <w:tabs>
          <w:tab w:val="clear" w:pos="708"/>
          <w:tab w:val="left" w:pos="-284" w:leader="none"/>
        </w:tabs>
        <w:suppressAutoHyphens w:val="true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Использование энергетических ресурсов с учётом ресурсных, производственно-технических, экологических и социальных условий.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данном проекте разработаны мероприятия по энергосбережению.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Перечень мероприятий приведён в приложении № 7.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Стоимость проведения мероприятий учтена в разделе № 7.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данном проекте разработаны мероприятия по энергосбережению.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Перечень мероприятий приведён в Приложении № 7.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Стоимость проведения мероприятий учтена в разделе № 7.4.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Раздел 11.1. Основные требования по энергосбережению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-обязанности по учёту используемых энергетических ресурсов;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-требования энергетической эффективности зданий, строений, сооружений;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-обязанности проведения планового энергетического обследования;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-требования к энергетическому паспорту: источников тепловой энергии и теплосетей;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-обязанности проведения мероприятий по энергосбережению;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-требования к энергосбережению и учёту энергоресурсов;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-рациональное использование тепловой энергии;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-поддержка и стимулирование энергосбережения;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-системность и комплексность проведения мероприятий по энергосбережению;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-планирование энергосбережения;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-использование энергетических ресурсов с учётом ресурсных, производственно-технических, экологических и социальных условий эксплуатации системы теплоснабжения и требований энергосбережения.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11.2. Режим отпуска тепла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местных системах теплоснабжения для правильной их работы, должно быть осуществлено соответствие между потребностью в тепле и получением его от источника тепла. Указанное соответствие достигается при помощи регулирования.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Потребная производительность систем отопления и вентиляции в основном зависит от перепада внутренней и наружной температуры и регулируется изменением расчётного перепада температур теплоносителя, т.е. изменения качества теплоносителя.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Практически это сводится к поддержанию температуры теплоносителя  в соответствии с наружной температурой.</w:t>
      </w:r>
    </w:p>
    <w:p>
      <w:p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Для бесперебойной подачи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 потребителям теплоносителя, требуемых обеспечения его параметров, при минимальных потерях тепла, необходима согласованная работа источников тепла, тепловых сетей и потребляющих установок абонентов, а также правильное распределение тепла по потребителям и учёт отпущенного тепла.</w:t>
      </w:r>
    </w:p>
    <w:p>
      <w:pPr>
        <w:sectPr>
          <w:footerReference w:type="default" r:id="rId47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Проектом предусмотрено программное обеспечение для контроля, управления, учета и распределения тепловой энергии и учета всех ресурсов. </w:t>
      </w:r>
    </w:p>
    <w:p>
      <w:pPr>
        <w:pStyle w:val="111"/>
        <w:spacing w:lineRule="auto" w:line="276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85" w:name="_Toc21181501"/>
      <w:bookmarkStart w:id="86" w:name="_Toc21181573"/>
      <w:bookmarkStart w:id="87" w:name="_Toc21181668"/>
      <w:bookmarkStart w:id="88" w:name="_Toc21181798"/>
      <w:bookmarkStart w:id="89" w:name="_Toc21182118"/>
      <w:bookmarkStart w:id="90" w:name="_Toc21182219"/>
      <w:bookmarkStart w:id="91" w:name="_Toc21182327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Раздел 12. Основные требования по энергетической эффективности:</w:t>
      </w:r>
      <w:bookmarkEnd w:id="85"/>
      <w:bookmarkEnd w:id="86"/>
      <w:bookmarkEnd w:id="87"/>
      <w:bookmarkEnd w:id="88"/>
      <w:bookmarkEnd w:id="89"/>
      <w:bookmarkEnd w:id="90"/>
      <w:bookmarkEnd w:id="91"/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ab/>
        <w:t>В соответствии с ФЗ № 261 от 23.11.2009 г. «Энергосбережение и энергоэффективность», с целью создания основ стимулирования энергосбережения: правовых, экономических и организационных, повышения энергетической эффективности необходимо выполнять основные требования: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1.Эффективное и рациональное использование ресурсов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2.Поддержка и стимулирование эффективного использования энергоресурсов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3.Системность и комплексность проведения мероприятий по энергосбережению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4.Планирование энергосбережения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5.Использование энергетических ресурсов с учётом ресурсных, производственно-технических, экологических и социальных условий.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12.1. Повышение энергетической эффективности основывается на принципах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1. Эффективное использование тепловой энергии.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2. Системность и комплексность проведения мероприятий по повышению энергетической эффективности.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3. Повышение энергетической эффективности.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4. Использование энергетических ресурсов с учётом требований эффективного энергосбережения.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данном проекте разработаны мероприятия по повышению эффективности теплоснабжения (см. приложение № 7).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Стоимость проведения мероприятий учтена в разделе № 7.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данном проекте разработаны мероприятия по повышению эффективности теплоснабжения (см. Приложение № 7)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Стоимость проведения мероприятий учтена в разделе № 7.5.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12.2. Комплексная диспетчеризация систем инженерного оборудования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ab/>
        <w:t>Для повышения качества эксплуатации системы теплоснабжения предусматривается устройство диспетчерских служб.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Диспетчерская служба выполняет следующие функции: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-собирает и обрабатывает информацию о режимах работы инженерного оборудования зданий и микрорайонов;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-непосредственно управляет работой инженерного оборудования (включение, отключение, авторегулирование подачи теплоты);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-контролирует состояние служебных помещений;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-организует работы по устранению неисправностей персоналом эксплуатационной службы, либо обеспечивает, при необходимости, вызов аварийных или специальных служб.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Диспетчерский пункт информационно связан с объектами теплоснабжения каналами связи.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 объектах установлены датчики технологических параметров.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диспетчерском пункте устанавливается аппаратура управления с  отображением информации на пункте диспетчера.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городском поселении «Борзинское» предусмотрено строительство диспетчерского пункта и системы диспетчеризации.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12.3. Экономическая эффективность диспетчеризации складывается из следующих составляющих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-сокращение числа обслуживающего персонала там, где было до внедрения ДС круглосуточное дежурство;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-своевременное устранение или локализация аварий;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-экономия электроэнергии и теплоты за счёт оптимизации работы инженерного оборудования;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-увеличение сроков службы инженерного оборудования без проведения ремонтных работ.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ab/>
        <w:t>Как показывает практика, при внедрении диспетчерской службы срок окупаемости таких систем, по данным ЦНИИЭП инженерного оборудования, составляет 1-3 года. При этом достигается экономия эксплуатационных затрат до 10-20 % за счёт высвобождения обслуживающего персонала.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ab/>
        <w:t>Правильная организация эксплуатации. Широкое внедрение автоматизации и диспетчеризации обеспечивает более надёжную и бесперебойную работу системы теплоснабжения, а это, в свою очередь, улучшает комфортные условия проживания.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 xml:space="preserve">12.4. Установка контрольно-диспетчерских пунктов 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(в узлах присоединения распределительных сетей к магистральным устраиваются контрольно-распределительные пункты (КРП)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ab/>
        <w:t>Такие тепловые пункты предусматривают возможность двухстороннего присоединения к параллельным магистральным сетям (резервирующие связи) или резервные перемычки, соединяющие теплосети двух котельных , т.е. работу этих сетей по кольцевой схеме, которая может обеспечить более высокую системную надёжность теплоснабжения, по сравнению с общераспространённой с тупиковой  (радиальной) схемой тепловых сетей.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ab/>
        <w:t>Центральные тепловые пункты (ЦТП) устраивают на границе распределительных сетей и внутриквартальных местных систем теплопотребления общественных и жилых зданий.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12.5. Автоматизация ЦТП – центральных тепловых пунктов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1. Автоматизация регулирования подачи теплоты в жилые дома и микрорайоны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Наибольшая экономия тепловой энергии, расходуемой на отопление, при  сравнительно небольших капиталовложениях обеспечивается применением автоматического регулирования её подачи. При установлении оптимального режима работы экономия теплоты может составить 20 % и более годового потребления на отопление без нарушения теплового режима в зданиях.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ab/>
        <w:t>Ещё больший эффект от автоматизации достигается тогда, когда она осуществляется не только в объектах нового строительства, но и при реконструкции существующих зданий.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Автоматизация индивидуальных тепловых пунктов с местным центральным регулированием отопления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Для автоматического регулирования расхода теплоты на отопление отдельного здания, подключаемого к городской тепловой сети, помимо ЦТП по зависимой схеме используется электронный регулятор.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 xml:space="preserve">На тепловых пунктах  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должны быть установлены оборудование и средства автоматизации для обеспечения независимости гидравлических режимов в системе потребителя (после этих пунктов) от аварийных нарушений режимов в тепловых сетях до тепловых пунктов.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  <w:lang w:val="ru-RU"/>
        </w:rPr>
        <w:t>12.6. Описание автоматизированных систем, используемых в производственном процессе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ab/>
        <w:t>Согласно требований СП 41-1014-95 в тепловых пунктах предусматривается технологический контроль и регулирование основных параметров сетевой воды и воды горячего водоснабжения, управление насосами исходной и сетевой воды, а также предусматривается контроль, измерение и регулирование следующих параметров: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температуры прямой сетевой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температуры обратной сетевой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температуры горячей воды в сеть;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температуры исходной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температуры греющей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температуры циркуляционной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давления прямой сетевой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давления обратной сетевой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давления горячей воды в сеть;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давления исходной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давления греющей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давления циркуляционной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давления на напорных патрубках насосов;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-контроль давления на всасывающих патрубках насосов;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-измерение расхода тепловой энергии прямой сетевой 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-измерение расхода тепловой энергии обратной сетевой  воды;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-коммерческий учёт расхода тепловой энергии в систему отопления;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-регулирование давления исходной воды перед насосами;</w:t>
      </w:r>
    </w:p>
    <w:p>
      <w:pPr>
        <w:sectPr>
          <w:footerReference w:type="default" r:id="rId48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08"/>
          <w:tab w:val="left" w:pos="-284" w:leader="none"/>
        </w:tabs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-регулирование давления подающей сетевой воды в теплосеть и т.п.</w:t>
      </w:r>
    </w:p>
    <w:p>
      <w:pPr>
        <w:pStyle w:val="111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bookmarkStart w:id="92" w:name="_Toc21181502"/>
      <w:bookmarkStart w:id="93" w:name="_Toc21181574"/>
      <w:bookmarkStart w:id="94" w:name="_Toc21181669"/>
      <w:bookmarkStart w:id="95" w:name="_Toc21181799"/>
      <w:bookmarkStart w:id="96" w:name="_Toc21182119"/>
      <w:bookmarkStart w:id="97" w:name="_Toc21182220"/>
      <w:bookmarkStart w:id="98" w:name="_Toc21182328"/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Заключение</w:t>
      </w:r>
      <w:bookmarkEnd w:id="92"/>
      <w:bookmarkEnd w:id="93"/>
      <w:bookmarkEnd w:id="94"/>
      <w:bookmarkEnd w:id="95"/>
      <w:bookmarkEnd w:id="96"/>
      <w:bookmarkEnd w:id="97"/>
      <w:bookmarkEnd w:id="98"/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государственной стратегии Российской Федерации развития систем теплоснабжения поселений, городских округов определено, что в городах с высокой плотностью застройки следует модернизировать и развивать системы централизованного теплоснабжения от крупных котельных.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Требованиями пункта 8 статьи 23 Федерального закона от 27.07.2010 г.       № 190 – ФЗ «О теплоснабжении» обязательными критериями принятия решения в отношении развития системы теплоснабжения являются: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-обеспечение надёжности теплоснабжения потребителей;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-минимизация затрат на теплоснабжение в расчёте на каждого потребителя в долгосрочной перспективе;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-учёт инвестиционных программ организаций, осуществляющих регулируемые виды деятельности в сфере теплоснабжения, программ в области энергосбережения и повышения энергетической эффективности указанных организаций, региональных программ, муниципальных программ в области энергосбережения и повышения энергетической эффективности;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-согласование схем теплоснабжения с иными программами развития сетей инженерно-технического обеспечения.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Уровень централизованного теплоснабжения в городе Борзя составляет 58,6 % потребителей тепла в городе.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Зоны действия децентрализованного теплоснабжения в настоящее время ограничены территорией индивидуальной жилой застройки, отопление которых осуществляется от бытовых печей.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Обеспечение теплом перспективных многоквартирных домов и общественных зданий в Схеме теплоснабжения запланировано централизованно от новых котельных.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Теплоснабжение новых малоэтажных (2-3 этажных) жилых домов предполагается централизованно от новых котельных.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Развитие системы теплоснабжения городского поселения «Борзинское» предполагается базировать на преимущественном использовании существующих муниципальных котельных. При этом предлагается их реконструкция, проведение мероприятий по повышению эффективности использования топлива, установка оборудования с более высоким КПД.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Проектом предусмотрена модернизация существующей котельной «Центральная» с доведением её производительсноти до 45 Гкал/час.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Реализация предлагаемого в Схеме оптимального варианта развития системы теплоснабжения позволит снизить себестоимость вырабатываемого тепла и тарифы на тепловую энергию для потребителей в городе, повысить надёжность работы теплосетевых объектов.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Предлагаемые в Схеме решения определяют основные направления развития системы теплоснабжения и городской инфраструктуры на первую очередь (2019 – 2024 гг.) и на перспективу до 2030 года. 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 xml:space="preserve">Приведённые в Схеме предложения позволяют Администрации «Городского поселения «Борзинское» обеспечить содержание и обслуживание котельных, тепловых сетей и определить единую теплоснабжающую организацию </w:t>
      </w:r>
      <w:r>
        <w:rPr>
          <w:rStyle w:val="Strong"/>
          <w:rFonts w:cs="Times New Roman" w:ascii="Times New Roman" w:hAnsi="Times New Roman"/>
          <w:b w:val="false"/>
          <w:color w:val="000000" w:themeColor="text1"/>
          <w:sz w:val="28"/>
          <w:szCs w:val="28"/>
          <w:shd w:fill="FFFFFF" w:val="clear"/>
          <w:lang w:val="ru-RU"/>
        </w:rPr>
        <w:t>АО «ЗабТЭК».</w:t>
      </w:r>
    </w:p>
    <w:p>
      <w:p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Комитетом по государственному регулированию цен и тарифов устанавливаются цены (тарифы) на тепловую энергию для предприятий, обеспечивающих выработку и передачу тепловой энергии в системах тепорснабжения с целью реализации потребителям.</w:t>
      </w:r>
    </w:p>
    <w:p>
      <w:pPr>
        <w:sectPr>
          <w:footerReference w:type="default" r:id="rId49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08"/>
          <w:tab w:val="left" w:pos="-284" w:leader="none"/>
        </w:tabs>
        <w:spacing w:lineRule="auto" w:line="276"/>
        <w:ind w:left="-140" w:firstLine="84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В городском поселении тарифы разрабатываются  на основе калькуляции всех затрат и утверждаются в целом для всех котельных.</w:t>
      </w:r>
    </w:p>
    <w:p>
      <w:pPr>
        <w:pStyle w:val="Normal"/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567" w:right="-308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567" w:right="-308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right" w:pos="851" w:leader="dot"/>
          <w:tab w:val="left" w:pos="1134" w:leader="none"/>
        </w:tabs>
        <w:overflowPunct w:val="true"/>
        <w:spacing w:lineRule="auto" w:line="360" w:before="62" w:after="0"/>
        <w:ind w:left="567" w:right="-308" w:hanging="0"/>
        <w:jc w:val="center"/>
        <w:rPr>
          <w:rFonts w:ascii="Times New Roman" w:hAnsi="Times New Roman" w:cs="Times New Roman"/>
          <w:sz w:val="28"/>
          <w:szCs w:val="28"/>
          <w:highlight w:val="yellow"/>
          <w:u w:val="single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Таблица 13. Тарифы на горячую воду в открытой системе теплоснабжения (горячее водоснабжение), поставляемую АО «ЗабТЭК» потребителям на территории городского поселения «Борзинское», на 2019-2023 годы</w:t>
      </w:r>
    </w:p>
    <w:tbl>
      <w:tblPr>
        <w:tblStyle w:val="NormalTable0"/>
        <w:tblW w:w="14897" w:type="dxa"/>
        <w:jc w:val="left"/>
        <w:tblInd w:w="276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867"/>
        <w:gridCol w:w="2276"/>
        <w:gridCol w:w="841"/>
        <w:gridCol w:w="1358"/>
        <w:gridCol w:w="1394"/>
        <w:gridCol w:w="1"/>
        <w:gridCol w:w="1374"/>
        <w:gridCol w:w="1394"/>
        <w:gridCol w:w="3"/>
        <w:gridCol w:w="1220"/>
        <w:gridCol w:w="1395"/>
        <w:gridCol w:w="4"/>
        <w:gridCol w:w="1362"/>
        <w:gridCol w:w="1406"/>
      </w:tblGrid>
      <w:tr>
        <w:trPr>
          <w:trHeight w:val="273" w:hRule="atLeast"/>
        </w:trPr>
        <w:tc>
          <w:tcPr>
            <w:tcW w:w="8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</w:p>
          <w:p>
            <w:pPr>
              <w:pStyle w:val="TableParagraph"/>
              <w:spacing w:before="2" w:after="0"/>
              <w:jc w:val="lef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</w:r>
          </w:p>
          <w:p>
            <w:pPr>
              <w:pStyle w:val="TableParagraph"/>
              <w:ind w:left="270" w:hanging="0"/>
              <w:jc w:val="left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w w:val="103"/>
                <w:lang w:val="ru-RU"/>
              </w:rPr>
              <w:t>№</w:t>
            </w:r>
          </w:p>
          <w:p>
            <w:pPr>
              <w:pStyle w:val="TableParagraph"/>
              <w:spacing w:before="13" w:after="0"/>
              <w:ind w:left="239" w:hanging="0"/>
              <w:jc w:val="left"/>
              <w:rPr>
                <w:sz w:val="23"/>
                <w:lang w:val="ru-RU"/>
              </w:rPr>
            </w:pPr>
            <w:r>
              <w:rPr>
                <w:w w:val="105"/>
                <w:sz w:val="23"/>
                <w:lang w:val="ru-RU"/>
              </w:rPr>
              <w:t>п/п</w:t>
            </w:r>
          </w:p>
        </w:tc>
        <w:tc>
          <w:tcPr>
            <w:tcW w:w="2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before="10" w:after="0"/>
              <w:jc w:val="left"/>
              <w:rPr>
                <w:sz w:val="37"/>
                <w:lang w:val="ru-RU"/>
              </w:rPr>
            </w:pPr>
            <w:r>
              <w:rPr>
                <w:sz w:val="37"/>
                <w:lang w:val="ru-RU"/>
              </w:rPr>
            </w:r>
          </w:p>
          <w:p>
            <w:pPr>
              <w:pStyle w:val="TableParagraph"/>
              <w:spacing w:lineRule="auto" w:line="252" w:before="1" w:after="0"/>
              <w:ind w:left="351" w:right="313" w:hanging="39"/>
              <w:jc w:val="both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Наименование регулируемой </w:t>
            </w:r>
            <w:r>
              <w:rPr>
                <w:w w:val="105"/>
                <w:sz w:val="23"/>
                <w:lang w:val="ru-RU"/>
              </w:rPr>
              <w:t>организации</w:t>
            </w:r>
          </w:p>
        </w:tc>
        <w:tc>
          <w:tcPr>
            <w:tcW w:w="8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jc w:val="left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</w:r>
          </w:p>
          <w:p>
            <w:pPr>
              <w:pStyle w:val="TableParagraph"/>
              <w:spacing w:before="2" w:after="0"/>
              <w:jc w:val="left"/>
              <w:rPr>
                <w:sz w:val="36"/>
                <w:lang w:val="ru-RU"/>
              </w:rPr>
            </w:pPr>
            <w:r>
              <w:rPr>
                <w:sz w:val="36"/>
                <w:lang w:val="ru-RU"/>
              </w:rPr>
            </w:r>
          </w:p>
          <w:p>
            <w:pPr>
              <w:pStyle w:val="TableParagraph"/>
              <w:ind w:left="240" w:hanging="0"/>
              <w:jc w:val="left"/>
              <w:rPr>
                <w:sz w:val="23"/>
                <w:lang w:val="ru-RU"/>
              </w:rPr>
            </w:pPr>
            <w:r>
              <w:rPr>
                <w:w w:val="105"/>
                <w:sz w:val="23"/>
                <w:lang w:val="ru-RU"/>
              </w:rPr>
              <w:t>Год</w:t>
            </w:r>
          </w:p>
        </w:tc>
        <w:tc>
          <w:tcPr>
            <w:tcW w:w="55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left="803" w:hanging="0"/>
              <w:jc w:val="left"/>
              <w:rPr>
                <w:sz w:val="23"/>
                <w:lang w:val="ru-RU"/>
              </w:rPr>
            </w:pPr>
            <w:r>
              <w:rPr>
                <w:w w:val="105"/>
                <w:sz w:val="23"/>
                <w:lang w:val="ru-RU"/>
              </w:rPr>
              <w:t>Для бюджетных и прочих потребителей</w:t>
            </w:r>
          </w:p>
        </w:tc>
        <w:tc>
          <w:tcPr>
            <w:tcW w:w="53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left="1013" w:hanging="0"/>
              <w:jc w:val="left"/>
              <w:rPr>
                <w:sz w:val="23"/>
                <w:lang w:val="ru-RU"/>
              </w:rPr>
            </w:pPr>
            <w:r>
              <w:rPr>
                <w:w w:val="105"/>
                <w:sz w:val="23"/>
                <w:lang w:val="ru-RU"/>
              </w:rPr>
              <w:t>Для населения (с учетом НДС)***</w:t>
            </w:r>
          </w:p>
        </w:tc>
      </w:tr>
      <w:tr>
        <w:trPr>
          <w:trHeight w:val="542" w:hRule="atLeast"/>
        </w:trPr>
        <w:tc>
          <w:tcPr>
            <w:tcW w:w="86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</w:p>
        </w:tc>
        <w:tc>
          <w:tcPr>
            <w:tcW w:w="227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</w:p>
        </w:tc>
        <w:tc>
          <w:tcPr>
            <w:tcW w:w="8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</w:p>
        </w:tc>
        <w:tc>
          <w:tcPr>
            <w:tcW w:w="275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auto" w:line="252" w:before="148" w:after="0"/>
              <w:ind w:left="782" w:hanging="619"/>
              <w:jc w:val="lef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Компонент на холодную воду, руб./м</w:t>
            </w:r>
            <w:r>
              <w:rPr>
                <w:sz w:val="23"/>
                <w:vertAlign w:val="superscript"/>
                <w:lang w:val="ru-RU"/>
              </w:rPr>
              <w:t>3</w:t>
            </w:r>
          </w:p>
        </w:tc>
        <w:tc>
          <w:tcPr>
            <w:tcW w:w="27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74" w:before="4" w:after="0"/>
              <w:ind w:left="999" w:hanging="819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Компонент на тепловую энергию</w:t>
            </w:r>
          </w:p>
        </w:tc>
        <w:tc>
          <w:tcPr>
            <w:tcW w:w="261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auto" w:line="252" w:before="148" w:after="0"/>
              <w:ind w:left="181" w:firstLine="450"/>
              <w:jc w:val="lef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Компонент на холодную воду руб./м</w:t>
            </w:r>
            <w:r>
              <w:rPr>
                <w:sz w:val="23"/>
                <w:vertAlign w:val="superscript"/>
                <w:lang w:val="ru-RU"/>
              </w:rPr>
              <w:t>3</w:t>
            </w:r>
          </w:p>
        </w:tc>
        <w:tc>
          <w:tcPr>
            <w:tcW w:w="2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74" w:before="4" w:after="0"/>
              <w:ind w:left="988" w:hanging="819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Компонент на тепловую энергию</w:t>
            </w:r>
          </w:p>
        </w:tc>
      </w:tr>
      <w:tr>
        <w:trPr>
          <w:trHeight w:val="264" w:hRule="atLeast"/>
        </w:trPr>
        <w:tc>
          <w:tcPr>
            <w:tcW w:w="86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227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8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2753" w:type="dxa"/>
            <w:gridSpan w:val="3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27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4" w:after="0"/>
              <w:ind w:left="38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Одноставочный, руб./Гкал</w:t>
            </w:r>
          </w:p>
        </w:tc>
        <w:tc>
          <w:tcPr>
            <w:tcW w:w="2619" w:type="dxa"/>
            <w:gridSpan w:val="3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2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4" w:after="0"/>
              <w:ind w:left="74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Одноставочный, руб./Гкал</w:t>
            </w:r>
          </w:p>
        </w:tc>
      </w:tr>
      <w:tr>
        <w:trPr>
          <w:trHeight w:val="547" w:hRule="atLeast"/>
        </w:trPr>
        <w:tc>
          <w:tcPr>
            <w:tcW w:w="86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227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8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before="8" w:after="0"/>
              <w:ind w:left="178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01 января</w:t>
            </w:r>
          </w:p>
          <w:p>
            <w:pPr>
              <w:pStyle w:val="TableParagraph"/>
              <w:spacing w:lineRule="exact" w:line="240" w:before="15" w:after="0"/>
              <w:ind w:left="230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30 июня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before="8" w:after="0"/>
              <w:ind w:left="135" w:right="57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01 июля</w:t>
            </w:r>
          </w:p>
          <w:p>
            <w:pPr>
              <w:pStyle w:val="TableParagraph"/>
              <w:spacing w:lineRule="exact" w:line="240" w:before="15" w:after="0"/>
              <w:ind w:left="135" w:right="106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31 декабря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before="8" w:after="0"/>
              <w:ind w:left="167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01 января</w:t>
            </w:r>
          </w:p>
          <w:p>
            <w:pPr>
              <w:pStyle w:val="TableParagraph"/>
              <w:spacing w:lineRule="exact" w:line="240" w:before="15" w:after="0"/>
              <w:ind w:left="224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30 июня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before="8" w:after="0"/>
              <w:ind w:left="136" w:right="65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01 июля</w:t>
            </w:r>
          </w:p>
          <w:p>
            <w:pPr>
              <w:pStyle w:val="TableParagraph"/>
              <w:spacing w:lineRule="exact" w:line="240" w:before="15" w:after="0"/>
              <w:ind w:left="136" w:right="114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31 декабря</w:t>
            </w:r>
          </w:p>
        </w:tc>
        <w:tc>
          <w:tcPr>
            <w:tcW w:w="1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before="8" w:after="0"/>
              <w:ind w:left="99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01 января</w:t>
            </w:r>
          </w:p>
          <w:p>
            <w:pPr>
              <w:pStyle w:val="TableParagraph"/>
              <w:spacing w:lineRule="exact" w:line="240" w:before="15" w:after="0"/>
              <w:ind w:left="156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30 июня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before="8" w:after="0"/>
              <w:ind w:left="135" w:right="71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01 июля</w:t>
            </w:r>
          </w:p>
          <w:p>
            <w:pPr>
              <w:pStyle w:val="TableParagraph"/>
              <w:spacing w:lineRule="exact" w:line="240" w:before="15" w:after="0"/>
              <w:ind w:left="128" w:right="113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31 декабря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before="8" w:after="0"/>
              <w:ind w:left="165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01 января</w:t>
            </w:r>
          </w:p>
          <w:p>
            <w:pPr>
              <w:pStyle w:val="TableParagraph"/>
              <w:spacing w:lineRule="exact" w:line="240" w:before="15" w:after="0"/>
              <w:ind w:left="222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30 июня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before="8" w:after="0"/>
              <w:ind w:left="132" w:right="66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01 июля</w:t>
            </w:r>
          </w:p>
          <w:p>
            <w:pPr>
              <w:pStyle w:val="TableParagraph"/>
              <w:spacing w:lineRule="exact" w:line="240" w:before="15" w:after="0"/>
              <w:ind w:left="132" w:right="110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31 декабря</w:t>
            </w:r>
          </w:p>
        </w:tc>
      </w:tr>
      <w:tr>
        <w:trPr>
          <w:trHeight w:val="278" w:hRule="atLeast"/>
        </w:trPr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13" w:after="0"/>
              <w:ind w:left="33" w:hanging="0"/>
              <w:rPr>
                <w:sz w:val="23"/>
              </w:rPr>
            </w:pPr>
            <w:r>
              <w:rPr>
                <w:w w:val="108"/>
                <w:sz w:val="23"/>
                <w:lang w:val="en-US"/>
              </w:rPr>
              <w:t>2</w:t>
            </w:r>
          </w:p>
        </w:tc>
        <w:tc>
          <w:tcPr>
            <w:tcW w:w="1402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13" w:after="0"/>
              <w:ind w:left="4771" w:right="4781" w:hanging="0"/>
              <w:rPr>
                <w:sz w:val="23"/>
              </w:rPr>
            </w:pPr>
            <w:r>
              <w:rPr>
                <w:sz w:val="23"/>
                <w:lang w:val="en-US"/>
              </w:rPr>
              <w:t>Муниципальный  район «Борзинский район»</w:t>
            </w:r>
          </w:p>
        </w:tc>
      </w:tr>
      <w:tr>
        <w:trPr>
          <w:trHeight w:val="273" w:hRule="atLeast"/>
        </w:trPr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left="189" w:right="161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2.1</w:t>
            </w:r>
          </w:p>
        </w:tc>
        <w:tc>
          <w:tcPr>
            <w:tcW w:w="1402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left="4757" w:right="4781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Городское поселение «Борзинское»</w:t>
            </w:r>
          </w:p>
        </w:tc>
      </w:tr>
      <w:tr>
        <w:trPr>
          <w:trHeight w:val="273" w:hRule="atLeast"/>
        </w:trPr>
        <w:tc>
          <w:tcPr>
            <w:tcW w:w="8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jc w:val="left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  <w:p>
            <w:pPr>
              <w:pStyle w:val="TableParagraph"/>
              <w:spacing w:before="5" w:after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  <w:p>
            <w:pPr>
              <w:pStyle w:val="TableParagraph"/>
              <w:ind w:left="124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2.1.1</w:t>
            </w:r>
          </w:p>
        </w:tc>
        <w:tc>
          <w:tcPr>
            <w:tcW w:w="2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jc w:val="left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  <w:p>
            <w:pPr>
              <w:pStyle w:val="TableParagraph"/>
              <w:spacing w:before="5" w:after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  <w:p>
            <w:pPr>
              <w:pStyle w:val="TableParagraph"/>
              <w:ind w:left="223" w:hanging="0"/>
              <w:jc w:val="lef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АО «ЗабТЭК»*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right="158" w:hanging="0"/>
              <w:jc w:val="right"/>
              <w:rPr>
                <w:sz w:val="23"/>
              </w:rPr>
            </w:pPr>
            <w:r>
              <w:rPr>
                <w:sz w:val="23"/>
                <w:lang w:val="en-US"/>
              </w:rPr>
              <w:t>2019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53"/>
              <w:ind w:left="5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53"/>
              <w:ind w:left="41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right="280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2 978,43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left="131" w:right="114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2 978,43</w:t>
            </w:r>
          </w:p>
        </w:tc>
        <w:tc>
          <w:tcPr>
            <w:tcW w:w="1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53"/>
              <w:ind w:left="4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53"/>
              <w:ind w:left="27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left="127" w:right="113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1 531,72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right="261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1 580,73</w:t>
            </w:r>
          </w:p>
        </w:tc>
      </w:tr>
      <w:tr>
        <w:trPr>
          <w:trHeight w:val="273" w:hRule="atLeast"/>
        </w:trPr>
        <w:tc>
          <w:tcPr>
            <w:tcW w:w="86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227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right="162" w:hanging="0"/>
              <w:jc w:val="right"/>
              <w:rPr>
                <w:sz w:val="23"/>
              </w:rPr>
            </w:pPr>
            <w:r>
              <w:rPr>
                <w:sz w:val="23"/>
                <w:lang w:val="en-US"/>
              </w:rPr>
              <w:t>2020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53"/>
              <w:ind w:left="5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53"/>
              <w:ind w:left="41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right="280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2 978,43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left="136" w:right="112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3 097,57</w:t>
            </w:r>
          </w:p>
        </w:tc>
        <w:tc>
          <w:tcPr>
            <w:tcW w:w="1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53"/>
              <w:ind w:left="4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53"/>
              <w:ind w:left="27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left="127" w:right="113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1 580,73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5" w:before="8" w:after="0"/>
              <w:ind w:right="262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1 643,96</w:t>
            </w:r>
          </w:p>
        </w:tc>
      </w:tr>
      <w:tr>
        <w:trPr>
          <w:trHeight w:val="263" w:hRule="atLeast"/>
        </w:trPr>
        <w:tc>
          <w:tcPr>
            <w:tcW w:w="86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227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3" w:after="0"/>
              <w:ind w:right="158" w:hanging="0"/>
              <w:jc w:val="right"/>
              <w:rPr>
                <w:sz w:val="23"/>
              </w:rPr>
            </w:pPr>
            <w:r>
              <w:rPr>
                <w:sz w:val="23"/>
                <w:lang w:val="en-US"/>
              </w:rPr>
              <w:t>2021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4"/>
              <w:ind w:left="5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4"/>
              <w:ind w:left="41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3" w:after="0"/>
              <w:ind w:right="273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3 097,57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3" w:after="0"/>
              <w:ind w:left="136" w:right="113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3 221,47</w:t>
            </w:r>
          </w:p>
        </w:tc>
        <w:tc>
          <w:tcPr>
            <w:tcW w:w="1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4"/>
              <w:ind w:left="4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4"/>
              <w:ind w:left="27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3" w:after="0"/>
              <w:ind w:left="129" w:right="113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1 643,96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3" w:after="0"/>
              <w:ind w:right="267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1 709,72</w:t>
            </w:r>
          </w:p>
        </w:tc>
      </w:tr>
      <w:tr>
        <w:trPr>
          <w:trHeight w:val="273" w:hRule="atLeast"/>
        </w:trPr>
        <w:tc>
          <w:tcPr>
            <w:tcW w:w="86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227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13" w:after="0"/>
              <w:ind w:right="158" w:hanging="0"/>
              <w:jc w:val="right"/>
              <w:rPr>
                <w:sz w:val="23"/>
              </w:rPr>
            </w:pPr>
            <w:r>
              <w:rPr>
                <w:sz w:val="23"/>
                <w:lang w:val="en-US"/>
              </w:rPr>
              <w:t>2022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9" w:before="4" w:after="0"/>
              <w:ind w:left="5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9" w:before="4" w:after="0"/>
              <w:ind w:left="41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13" w:after="0"/>
              <w:ind w:right="274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3 221,47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13" w:after="0"/>
              <w:ind w:left="131" w:right="114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3 350,33</w:t>
            </w:r>
          </w:p>
        </w:tc>
        <w:tc>
          <w:tcPr>
            <w:tcW w:w="1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9" w:before="4" w:after="0"/>
              <w:ind w:left="4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9" w:before="4" w:after="0"/>
              <w:ind w:left="27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13" w:after="0"/>
              <w:ind w:left="131" w:right="113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1 709,72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13" w:after="0"/>
              <w:ind w:right="253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1 778,11</w:t>
            </w:r>
          </w:p>
        </w:tc>
      </w:tr>
      <w:tr>
        <w:trPr>
          <w:trHeight w:val="268" w:hRule="atLeast"/>
        </w:trPr>
        <w:tc>
          <w:tcPr>
            <w:tcW w:w="86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227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8" w:after="0"/>
              <w:ind w:right="162" w:hanging="0"/>
              <w:jc w:val="right"/>
              <w:rPr>
                <w:sz w:val="23"/>
              </w:rPr>
            </w:pPr>
            <w:r>
              <w:rPr>
                <w:sz w:val="23"/>
                <w:lang w:val="en-US"/>
              </w:rPr>
              <w:t>2023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9"/>
              <w:ind w:left="5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9"/>
              <w:ind w:left="41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8" w:after="0"/>
              <w:ind w:right="280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3 350,33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8" w:after="0"/>
              <w:ind w:left="132" w:right="114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3 484,35</w:t>
            </w:r>
          </w:p>
        </w:tc>
        <w:tc>
          <w:tcPr>
            <w:tcW w:w="1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9"/>
              <w:ind w:left="42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9"/>
              <w:ind w:left="27" w:hanging="0"/>
              <w:rPr>
                <w:sz w:val="24"/>
              </w:rPr>
            </w:pPr>
            <w:r>
              <w:rPr>
                <w:w w:val="109"/>
                <w:sz w:val="24"/>
                <w:lang w:val="en-US"/>
              </w:rPr>
              <w:t>-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8" w:after="0"/>
              <w:ind w:left="131" w:right="113" w:hanging="0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1 778,11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TableParagraph"/>
              <w:spacing w:lineRule="exact" w:line="240" w:before="8" w:after="0"/>
              <w:ind w:right="267" w:hanging="0"/>
              <w:jc w:val="right"/>
              <w:rPr>
                <w:sz w:val="23"/>
              </w:rPr>
            </w:pPr>
            <w:r>
              <w:rPr>
                <w:w w:val="105"/>
                <w:sz w:val="23"/>
                <w:lang w:val="en-US"/>
              </w:rPr>
              <w:t>1 849,24</w:t>
            </w:r>
          </w:p>
        </w:tc>
      </w:tr>
    </w:tbl>
    <w:p>
      <w:pPr>
        <w:sectPr>
          <w:footerReference w:type="default" r:id="rId50"/>
          <w:type w:val="nextPage"/>
          <w:pgSz w:orient="landscape" w:w="16838" w:h="11906"/>
          <w:pgMar w:left="567" w:right="1276" w:header="0" w:top="709" w:footer="176" w:bottom="1532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footerReference w:type="default" r:id="rId51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409" w:right="281" w:hanging="0"/>
        <w:jc w:val="center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Т</w:t>
      </w:r>
      <w:r>
        <w:rPr>
          <w:rFonts w:cs="Times New Roman" w:ascii="Times New Roman" w:hAnsi="Times New Roman"/>
          <w:sz w:val="28"/>
          <w:szCs w:val="28"/>
          <w:lang w:val="ru-RU"/>
        </w:rPr>
        <w:t>аблица 14.</w:t>
      </w:r>
      <w:r>
        <w:rPr>
          <w:rFonts w:cs="Times New Roman" w:ascii="Times New Roman" w:hAnsi="Times New Roman"/>
          <w:w w:val="105"/>
          <w:sz w:val="28"/>
          <w:szCs w:val="28"/>
          <w:lang w:val="ru-RU"/>
        </w:rPr>
        <w:t>Тарифы на тепловую энергию (мощность),поставляемую АО «ЗабТЭК»* потребителям на территории Забайкальского края, на 2019-2023 годы</w:t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ru-RU"/>
        </w:rPr>
        <w:t>Приложение 1</w:t>
      </w:r>
    </w:p>
    <w:p>
      <w:pPr>
        <w:pStyle w:val="Normal"/>
        <w:spacing w:lineRule="auto" w:line="276"/>
        <w:jc w:val="center"/>
        <w:rPr>
          <w:rFonts w:ascii="Times New Roman" w:hAnsi="Times New Roman" w:eastAsia="Calibri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Социальная инфраструктура</w:t>
      </w:r>
    </w:p>
    <w:p>
      <w:pPr>
        <w:pStyle w:val="313"/>
        <w:spacing w:lineRule="auto" w:line="27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Расчет учреждений и предприятий социального обслуживания производится по СНиП 2.07.01 – 89* «Градостроительство. Планировка и застройка городских и сельских поселений», СП 42.13330.2011 г.</w:t>
      </w:r>
    </w:p>
    <w:p>
      <w:pPr>
        <w:pStyle w:val="313"/>
        <w:spacing w:lineRule="auto" w:line="276"/>
        <w:jc w:val="center"/>
        <w:rPr>
          <w:rFonts w:ascii="Times New Roman" w:hAnsi="Times New Roman" w:cs="Times New Roman"/>
          <w:b/>
          <w:b/>
          <w:bCs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Расчет учреждений обслуживания </w:t>
      </w:r>
    </w:p>
    <w:tbl>
      <w:tblPr>
        <w:tblW w:w="10036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90"/>
        <w:gridCol w:w="66"/>
        <w:gridCol w:w="1480"/>
        <w:gridCol w:w="78"/>
        <w:gridCol w:w="1560"/>
        <w:gridCol w:w="1841"/>
        <w:gridCol w:w="1536"/>
        <w:gridCol w:w="1584"/>
      </w:tblGrid>
      <w:tr>
        <w:trPr>
          <w:trHeight w:val="577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учреждений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Норматив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Общая </w:t>
            </w:r>
          </w:p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потребность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 xml:space="preserve">Существующие 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Потребность в новом стр 2019-2024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142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Потребность в новом стр. на 2025-2030  </w:t>
            </w:r>
          </w:p>
        </w:tc>
      </w:tr>
      <w:tr>
        <w:trPr>
          <w:trHeight w:val="70" w:hRule="atLeast"/>
        </w:trPr>
        <w:tc>
          <w:tcPr>
            <w:tcW w:w="100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Учреждения народного образования</w:t>
            </w:r>
          </w:p>
        </w:tc>
      </w:tr>
      <w:tr>
        <w:trPr>
          <w:trHeight w:val="917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Детские           дошкольные у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чреждения,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180 мест  на  1  тыс.человек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 ДДУ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5400 мест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900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2700</w:t>
            </w:r>
          </w:p>
        </w:tc>
      </w:tr>
      <w:tr>
        <w:trPr>
          <w:trHeight w:val="575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Общеобразова-тельные школы, учащиеся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180 мест на  1  тыс.человек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8400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 ООУ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4150 мест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1550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2700</w:t>
            </w:r>
          </w:p>
        </w:tc>
      </w:tr>
      <w:tr>
        <w:trPr>
          <w:trHeight w:val="239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Межшкольный  центр для раз-вития талантов школьников и молодежи,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right="-182" w:hang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8 % общего числа школь-ников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672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672</w:t>
            </w:r>
          </w:p>
        </w:tc>
      </w:tr>
      <w:tr>
        <w:trPr>
          <w:trHeight w:val="616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Дворец (Дом) творчества школьников,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3,3 % общего числа школьников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277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137 чел.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140</w:t>
            </w:r>
          </w:p>
        </w:tc>
      </w:tr>
      <w:tr>
        <w:trPr>
          <w:trHeight w:val="303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Станция юных техников,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0,9 % общего числа школьников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>
          <w:trHeight w:val="598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Станция юных натуралистов,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0,4 % общего числа школьников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>
          <w:trHeight w:val="728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Станция юных туристов,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0,4 % общего числа школьников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Детско-юношеская спортивная школа,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5,5% общего числа школьников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462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350 чел.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62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Детская музы-кальная школа, художественная, хореографичес-кая школа, место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2,7 % общего числа школьников                   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226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126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10 0 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115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85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Средние медицинские и профессиональ-но-технические учебные заведения, учащиеся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 заданию на проекти-рование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235 мед./У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402 проф./у.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265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102</w:t>
            </w:r>
          </w:p>
        </w:tc>
      </w:tr>
      <w:tr>
        <w:trPr/>
        <w:tc>
          <w:tcPr>
            <w:tcW w:w="100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Учреждения здравоохранения, социального обеспечения, спортивные и физкультурно-оздоровительные сооружения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Стационары всех типов, коек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11,53 коек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576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240 мест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165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175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Поликлиники, амбулатории, диспансеры, посещение в смену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35 посещений в смену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1750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750 посещений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</w:tr>
      <w:tr>
        <w:trPr>
          <w:trHeight w:val="886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Станции скорой медицинской помощи, автомобиль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1 автомобиль на 10 тыс. чел. 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Аптеки групп: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Предусматриваются аптеки всех групп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I-II, объект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III-V, объект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>
        <w:trPr>
          <w:trHeight w:val="70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VI-VIII, объект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>
        <w:trPr>
          <w:trHeight w:val="837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Молочные кухни, порция в сутки на 1 ребенка                   (до 1 г.)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2000</w:t>
            </w:r>
          </w:p>
        </w:tc>
      </w:tr>
      <w:tr>
        <w:trPr>
          <w:trHeight w:val="1450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Раздаточные пункты молоч-ной кухни,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  <w:rFonts w:cs="Times New Roman" w:ascii="Times New Roman" w:hAnsi="Times New Roman"/>
              </w:rPr>
              <w:instrText> PAGE </w:instrTex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separate"/>
            </w:r>
            <w:r>
              <w:rPr>
                <w:sz w:val="24"/>
                <w:szCs w:val="24"/>
                <w:rFonts w:cs="Times New Roman" w:ascii="Times New Roman" w:hAnsi="Times New Roman"/>
              </w:rPr>
              <w:t>56</w: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end"/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А. м общей площади на 1 ребенка (до 1 года)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>
        <w:trPr>
          <w:trHeight w:val="770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Институты культового назначения, объект 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Приходской храм        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>
        <w:trPr>
          <w:trHeight w:val="960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Физкультурно-спортивные сооружения: территория, га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0,7- 0,9 га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«ОЛИМП»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>
        <w:trPr>
          <w:trHeight w:val="1717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Помещения для физкультурно-оздоровитель-ных занятий в микрорайоне,                         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  <w:rFonts w:cs="Times New Roman" w:ascii="Times New Roman" w:hAnsi="Times New Roman"/>
              </w:rPr>
              <w:instrText> PAGE </w:instrTex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separate"/>
            </w:r>
            <w:r>
              <w:rPr>
                <w:sz w:val="24"/>
                <w:szCs w:val="24"/>
                <w:rFonts w:cs="Times New Roman" w:ascii="Times New Roman" w:hAnsi="Times New Roman"/>
              </w:rPr>
              <w:t>57</w: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end"/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А. м общей площади 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70-80 кв. м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«ОЛИМП»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460 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1540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2000</w:t>
            </w:r>
          </w:p>
        </w:tc>
      </w:tr>
      <w:tr>
        <w:trPr>
          <w:trHeight w:val="1310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Спортивные залы общего пользования,          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  <w:rFonts w:cs="Times New Roman" w:ascii="Times New Roman" w:hAnsi="Times New Roman"/>
              </w:rPr>
              <w:instrText> PAGE </w:instrTex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separate"/>
            </w:r>
            <w:r>
              <w:rPr>
                <w:sz w:val="24"/>
                <w:szCs w:val="24"/>
                <w:rFonts w:cs="Times New Roman" w:ascii="Times New Roman" w:hAnsi="Times New Roman"/>
              </w:rPr>
              <w:t>57</w: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end"/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А.м площади пола 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60-80 кв. м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2400 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1000</w:t>
            </w:r>
          </w:p>
        </w:tc>
      </w:tr>
      <w:tr>
        <w:trPr>
          <w:trHeight w:val="892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Бассейны кры-тые общего пользования,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  <w:rFonts w:cs="Times New Roman" w:ascii="Times New Roman" w:hAnsi="Times New Roman"/>
              </w:rPr>
              <w:instrText> PAGE </w:instrTex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separate"/>
            </w:r>
            <w:r>
              <w:rPr>
                <w:sz w:val="24"/>
                <w:szCs w:val="24"/>
                <w:rFonts w:cs="Times New Roman" w:ascii="Times New Roman" w:hAnsi="Times New Roman"/>
              </w:rPr>
              <w:t>57</w: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end"/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А. м зеркала воды 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20-25 кв. м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550</w:t>
            </w:r>
          </w:p>
        </w:tc>
      </w:tr>
      <w:tr>
        <w:trPr>
          <w:trHeight w:val="70" w:hRule="atLeast"/>
        </w:trPr>
        <w:tc>
          <w:tcPr>
            <w:tcW w:w="100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Учреждения культуры и искусства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Клубы, посети-тельское место 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 помещениями  для занятий   по  интересам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80 мест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СКЦ- 210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КСК – 300 мест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2990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Кинотеатры, место  с залом  для экспозиций и выставок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25 мест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120 мест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830</w:t>
            </w:r>
          </w:p>
        </w:tc>
      </w:tr>
      <w:tr>
        <w:trPr>
          <w:trHeight w:val="2077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Городские массовые библиотеки,               тыс. единиц хранения/  чит.   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4,5 тыс. ед. хранения/ 3 читательские места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225/150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31707 ед.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73.293</w:t>
            </w:r>
          </w:p>
          <w:p>
            <w:pPr>
              <w:pStyle w:val="Normal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120</w:t>
            </w:r>
          </w:p>
        </w:tc>
      </w:tr>
      <w:tr>
        <w:trPr>
          <w:trHeight w:val="85" w:hRule="atLeast"/>
        </w:trPr>
        <w:tc>
          <w:tcPr>
            <w:tcW w:w="100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Предприятия торговли, общественного питания и бытового обслуживания</w:t>
            </w:r>
          </w:p>
        </w:tc>
      </w:tr>
      <w:tr>
        <w:trPr>
          <w:trHeight w:val="1020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Магазины продтоваров,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  <w:rFonts w:cs="Times New Roman" w:ascii="Times New Roman" w:hAnsi="Times New Roman"/>
              </w:rPr>
              <w:instrText> PAGE </w:instrTex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separate"/>
            </w:r>
            <w:r>
              <w:rPr>
                <w:sz w:val="24"/>
                <w:szCs w:val="24"/>
                <w:rFonts w:cs="Times New Roman" w:ascii="Times New Roman" w:hAnsi="Times New Roman"/>
              </w:rPr>
              <w:t>57</w: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end"/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А.м торговой площади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100 кв.м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96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2500м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1500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Магазины непродтоваров,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  <w:rFonts w:cs="Times New Roman" w:ascii="Times New Roman" w:hAnsi="Times New Roman"/>
              </w:rPr>
              <w:instrText> PAGE </w:instrTex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separate"/>
            </w:r>
            <w:r>
              <w:rPr>
                <w:sz w:val="24"/>
                <w:szCs w:val="24"/>
                <w:rFonts w:cs="Times New Roman" w:ascii="Times New Roman" w:hAnsi="Times New Roman"/>
              </w:rPr>
              <w:t>57</w: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end"/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А.м торговой площади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180 кв.м 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9000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79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4000м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3000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Рыночные комп-лексы,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  <w:rFonts w:cs="Times New Roman" w:ascii="Times New Roman" w:hAnsi="Times New Roman"/>
              </w:rPr>
              <w:instrText> PAGE </w:instrTex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separate"/>
            </w:r>
            <w:r>
              <w:rPr>
                <w:sz w:val="24"/>
                <w:szCs w:val="24"/>
                <w:rFonts w:cs="Times New Roman" w:ascii="Times New Roman" w:hAnsi="Times New Roman"/>
              </w:rPr>
              <w:t>57</w: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end"/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А.м торг. площади (крытые)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24 кв.м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836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364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Предприятия общественного питания,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40 мест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38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1175мест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325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Магазины кулинарии,      в.м торговой площади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85,2м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115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Предприятия бытового обслуживания, рабочее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9 раб. мест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83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156 мест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144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-непосредствен-ного обслужи-вания населения, раб.мест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5 раб. мест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83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156 мест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-производствен-ные предприятия централи-зованного выполнения заказов,                        раб. мест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4 раб. места 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Предприятия коммунального обслуживания: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375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Прачечные, кг белья в смену 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110 кг на 1 тыс. чел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5500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2000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Прачечные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  <w:rFonts w:cs="Times New Roman" w:ascii="Times New Roman" w:hAnsi="Times New Roman"/>
              </w:rPr>
              <w:instrText> PAGE </w:instrTex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separate"/>
            </w:r>
            <w:r>
              <w:rPr>
                <w:sz w:val="24"/>
                <w:szCs w:val="24"/>
                <w:rFonts w:cs="Times New Roman" w:ascii="Times New Roman" w:hAnsi="Times New Roman"/>
              </w:rPr>
              <w:t>58</w:t>
            </w:r>
            <w:r>
              <w:rPr>
                <w:sz w:val="24"/>
                <w:szCs w:val="24"/>
                <w:rFonts w:cs="Times New Roman" w:ascii="Times New Roman" w:hAnsi="Times New Roman"/>
              </w:rPr>
              <w:fldChar w:fldCharType="end"/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А-мообслуживан.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10кг. На 1тыс.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Фабрики-прачечные, кг белья в смену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110 кг на 1 тыс. чел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5500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5500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Химчистки, кг вещей в смену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11,4 кг на 1 тыс. чел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570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450</w:t>
            </w:r>
          </w:p>
        </w:tc>
      </w:tr>
      <w:tr>
        <w:trPr>
          <w:trHeight w:val="410" w:hRule="atLeast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фабрики-химчистки, кг вещей в смену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7,4 кг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370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370</w:t>
            </w:r>
          </w:p>
        </w:tc>
      </w:tr>
      <w:tr>
        <w:trPr/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Бани, место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 мест на 1 тыс. чел.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35мест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115</w:t>
            </w:r>
          </w:p>
        </w:tc>
      </w:tr>
      <w:tr>
        <w:trPr/>
        <w:tc>
          <w:tcPr>
            <w:tcW w:w="100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Организации и учреждения управления, кредитно-финансовые учреждения и предприятия связи</w:t>
            </w:r>
          </w:p>
        </w:tc>
      </w:tr>
      <w:tr>
        <w:trPr/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Отделения связи, объект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 объект на 10 тыс.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>
        <w:trPr/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Отделения банков, опера-ционная касса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1опер. касса  на 10-30 тыс.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>
        <w:trPr>
          <w:trHeight w:val="1353" w:hRule="atLeast"/>
        </w:trPr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Отделения и филиалы сберегательного банка, операционное место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1 опер.  место на 2-3 тыс. чел.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>
        <w:trPr/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Администрация поселка, объект    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 объект на поселок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Администрация района, объект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 объект на район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Районный суд, рабочее место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 судья на 30 тыс.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Юридические консультации, рабочее место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 юрист на 10 тыс.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>
        <w:trPr>
          <w:trHeight w:val="696" w:hRule="atLeast"/>
        </w:trPr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 нотариус на 20 тыс.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>
      <w:pPr>
        <w:pStyle w:val="Normal"/>
        <w:spacing w:lineRule="auto" w:line="276"/>
        <w:rPr>
          <w:rFonts w:ascii="Times New Roman" w:hAnsi="Times New Roman" w:eastAsia="Calibri" w:cs="Times New Roman"/>
          <w:bCs/>
          <w:color w:val="000000" w:themeColor="text1"/>
          <w:sz w:val="28"/>
          <w:szCs w:val="28"/>
          <w:lang w:eastAsia="ar-SA"/>
        </w:rPr>
      </w:pPr>
      <w:r>
        <w:rPr>
          <w:rFonts w:eastAsia="Calibri" w:cs="Times New Roman" w:ascii="Times New Roman" w:hAnsi="Times New Roman"/>
          <w:bCs/>
          <w:color w:val="000000" w:themeColor="text1"/>
          <w:sz w:val="28"/>
          <w:szCs w:val="28"/>
          <w:lang w:eastAsia="ar-SA"/>
        </w:rPr>
      </w:r>
      <w:r>
        <w:br w:type="page"/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Приложение 2</w:t>
      </w:r>
    </w:p>
    <w:p>
      <w:pPr>
        <w:pStyle w:val="Normal"/>
        <w:spacing w:lineRule="auto" w:line="276"/>
        <w:ind w:left="1069" w:right="28" w:hanging="0"/>
        <w:rPr>
          <w:rFonts w:ascii="Times New Roman" w:hAnsi="Times New Roman" w:eastAsia="Calibri" w:cs="Times New Roman"/>
          <w:b/>
          <w:b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>Используемые в настоящем документе понятия означают следующее: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>а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>) «зона действия системы теплоснабжения»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 - территория поселения, городского округа или её часть, границы которой устанавливаются по наиболее удалённым точкам подключения потребителей к тепловым сетям, входящим в систему теплоснабжения;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б) 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>«зона действия источника тепловой энергии»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 - территория поселения, городского округа или её часть, границы которой устанавливаются закрытыми секционирующими задвижками тепловой сети системы теплоснабжения;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в) 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>«установленная мощность источника тепловой энергии»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г) 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>«располагаемая мощность источника тепловой энергии»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 - величина, равная установленной мощности источника тепловой энергии за вычетом объёмов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продлённом техническом ресурсе (снижение параметров пара перед турбиной, отсутствие рециркуляции в пиковых водогрейных котлоагрегатах и др.;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д)  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>«мощность источника тепловой энергии нетто» -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 величина, равная располагаемой мощности источника тепловой энергии за вычетом тепловой нагрузки на собственные и хозяйственные нужды;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е) 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>«теплосетевые объекты»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ж) 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>«элемент территориального деления»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 - территория  поселения, городского округа или её часть, установленная по границам административно-территориальных единиц;</w:t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</w:r>
    </w:p>
    <w:p>
      <w:pPr>
        <w:pStyle w:val="Normal"/>
        <w:spacing w:lineRule="auto" w:line="276"/>
        <w:ind w:left="142" w:right="28" w:firstLine="92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з) 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  <w:lang w:val="ru-RU"/>
        </w:rPr>
        <w:t>«расчётный элемент территориального деления»</w:t>
      </w:r>
      <w:r>
        <w:rPr>
          <w:rFonts w:cs="Times New Roman" w:ascii="Times New Roman" w:hAnsi="Times New Roman"/>
          <w:color w:val="000000" w:themeColor="text1"/>
          <w:sz w:val="26"/>
          <w:szCs w:val="26"/>
          <w:lang w:val="ru-RU"/>
        </w:rPr>
        <w:t xml:space="preserve"> - территория поселения, городского округа или её часть, принятая для целей разработки схемы теплоснабжения в неизменяемых границах на весь срок действия схемы теплоснабжения.</w:t>
      </w:r>
      <w:r>
        <w:br w:type="page"/>
      </w:r>
    </w:p>
    <w:p>
      <w:pPr>
        <w:pStyle w:val="115"/>
        <w:spacing w:lineRule="auto" w:line="276"/>
        <w:ind w:left="714" w:right="28" w:hanging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Приложение 3</w:t>
      </w:r>
    </w:p>
    <w:p>
      <w:pPr>
        <w:pStyle w:val="120"/>
        <w:widowControl w:val="false"/>
        <w:spacing w:lineRule="auto" w:line="276"/>
        <w:ind w:firstLine="900"/>
        <w:jc w:val="both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Таблица основных показателей по новой застройке г. Борзи</w:t>
      </w:r>
    </w:p>
    <w:tbl>
      <w:tblPr>
        <w:tblW w:w="9058" w:type="dxa"/>
        <w:jc w:val="left"/>
        <w:tblInd w:w="83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34"/>
        <w:gridCol w:w="1114"/>
        <w:gridCol w:w="1422"/>
        <w:gridCol w:w="1451"/>
        <w:gridCol w:w="1822"/>
        <w:gridCol w:w="1589"/>
        <w:gridCol w:w="225"/>
      </w:tblGrid>
      <w:tr>
        <w:trPr>
          <w:trHeight w:val="166" w:hRule="atLeast"/>
        </w:trPr>
        <w:tc>
          <w:tcPr>
            <w:tcW w:w="905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Показатели высокоэтажной застройки генерального плана в районе Барнаула</w:t>
            </w:r>
          </w:p>
          <w:p>
            <w:pPr>
              <w:pStyle w:val="Normal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r>
          </w:p>
        </w:tc>
      </w:tr>
      <w:tr>
        <w:trPr>
          <w:trHeight w:val="66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Площадь (га)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Кол-во 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Кол-во квартир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Площадь жилья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дошкольники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Школьники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76,0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18900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6300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415800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1890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3400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3,2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800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267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17600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144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9,1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2275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758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50050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228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410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16,0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4000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88000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720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11,8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2950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983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64900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295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531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35,5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8875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2958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195250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888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1598</w:t>
            </w:r>
          </w:p>
        </w:tc>
      </w:tr>
      <w:tr>
        <w:trPr>
          <w:trHeight w:val="300" w:hRule="atLeast"/>
        </w:trPr>
        <w:tc>
          <w:tcPr>
            <w:tcW w:w="1434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1114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1422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1451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1822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1589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225" w:type="dxa"/>
            <w:tcBorders/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>
          <w:trHeight w:val="194" w:hRule="atLeast"/>
        </w:trPr>
        <w:tc>
          <w:tcPr>
            <w:tcW w:w="905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6"/>
                <w:szCs w:val="26"/>
                <w:lang w:val="ru-RU"/>
              </w:rPr>
              <w:t>Показатели многоэтажной застройки в центре г. Борзи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6"/>
                <w:szCs w:val="26"/>
                <w:lang w:val="ru-RU"/>
              </w:rPr>
            </w:r>
          </w:p>
        </w:tc>
      </w:tr>
      <w:tr>
        <w:trPr>
          <w:trHeight w:val="66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Площадь (га)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Кол-во 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Кол-во квартир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Площадь жилья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дошкольники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Школьники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35,8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7160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2386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157520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716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1288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3520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3960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67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4400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36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5280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27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23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580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12760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4,7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313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20680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3960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1,7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113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7480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3520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6600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360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7920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8800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6600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6600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0,7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47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1,4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280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6160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50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1,6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107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7040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58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0,7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47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8800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380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127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8360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68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 xml:space="preserve">27  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1760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0,3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 xml:space="preserve">20   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1320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0,7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 xml:space="preserve">47  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3080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0,1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 xml:space="preserve">7   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 xml:space="preserve">60   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3960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</w:t>
            </w:r>
          </w:p>
        </w:tc>
      </w:tr>
      <w:tr>
        <w:trPr>
          <w:trHeight w:val="300" w:hRule="atLeast"/>
        </w:trPr>
        <w:tc>
          <w:tcPr>
            <w:tcW w:w="1434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1114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1422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1451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1822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1589" w:type="dxa"/>
            <w:tcBorders/>
            <w:shd w:color="auto" w:fill="auto" w:val="clear"/>
            <w:vAlign w:val="bottom"/>
          </w:tcPr>
          <w:p>
            <w:pPr>
              <w:pStyle w:val="Normal"/>
              <w:snapToGrid w:val="false"/>
              <w:spacing w:lineRule="auto" w:line="27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225" w:type="dxa"/>
            <w:tcBorders/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8" w:hRule="atLeast"/>
        </w:trPr>
        <w:tc>
          <w:tcPr>
            <w:tcW w:w="905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6"/>
                <w:szCs w:val="26"/>
                <w:lang w:val="ru-RU"/>
              </w:rPr>
              <w:t>Показатели малоэтажной застройки в восточной части г. Борзи</w:t>
            </w:r>
          </w:p>
        </w:tc>
      </w:tr>
      <w:tr>
        <w:trPr>
          <w:trHeight w:val="66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Площадь (га)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Кол-во 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Кол-во квартир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Площадь жилья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дошкольники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Школьники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155,9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9354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3118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205788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935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1683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4,6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276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6072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50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3828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234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5148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23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1,3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1716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3,6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216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4752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114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2508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1,4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1848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2904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4224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3300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27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234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5148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23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3,3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4356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36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3828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0,7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924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1056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1056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0,7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924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5016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23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0,7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924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1584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1,3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1716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1584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1584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1056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1584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2,4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3168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2,6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156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3432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28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3,1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186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4092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3,4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4488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37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252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5544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25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3960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2,9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174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3828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3,4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4488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37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3696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3828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3696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1,6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96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2112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1,6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96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2112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1,7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2244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1,6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96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2112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17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1320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11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2,1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126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2772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1188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3300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27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414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9108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41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2376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4224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4,3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258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5676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46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1584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1,8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2376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2,7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54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3564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29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5280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43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1,4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1848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2640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3960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32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1188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0,6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792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6</w:t>
            </w:r>
          </w:p>
        </w:tc>
      </w:tr>
      <w:tr>
        <w:trPr>
          <w:trHeight w:val="330" w:hRule="atLeast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80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5280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spacing w:lineRule="auto" w:line="276"/>
              <w:ind w:hanging="8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6"/>
                <w:szCs w:val="26"/>
              </w:rPr>
              <w:t>43</w:t>
            </w:r>
          </w:p>
        </w:tc>
      </w:tr>
    </w:tbl>
    <w:p>
      <w:pPr>
        <w:sectPr>
          <w:footerReference w:type="default" r:id="rId52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jc w:val="right"/>
        <w:rPr>
          <w:rFonts w:ascii="Times New Roman" w:hAnsi="Times New Roman" w:eastAsia="Calibri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Приложение 4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 xml:space="preserve">Объекты социальной инфраструктуры 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Тепловые нагрузки</w:t>
      </w:r>
    </w:p>
    <w:p>
      <w:pPr>
        <w:pStyle w:val="Style46"/>
        <w:spacing w:before="120" w:after="60"/>
        <w:rPr>
          <w:rFonts w:ascii="Times New Roman" w:hAnsi="Times New Roman"/>
        </w:rPr>
      </w:pPr>
      <w:r>
        <w:rPr>
          <w:rFonts w:ascii="Times New Roman" w:hAnsi="Times New Roman"/>
        </w:rPr>
        <w:t>Таблица. Расчетные тепловые нагрузки</w:t>
      </w:r>
    </w:p>
    <w:tbl>
      <w:tblPr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7"/>
        <w:gridCol w:w="1334"/>
        <w:gridCol w:w="1476"/>
        <w:gridCol w:w="1176"/>
        <w:gridCol w:w="1005"/>
      </w:tblGrid>
      <w:tr>
        <w:trPr>
          <w:tblHeader w:val="true"/>
          <w:trHeight w:val="20" w:hRule="atLeast"/>
        </w:trPr>
        <w:tc>
          <w:tcPr>
            <w:tcW w:w="467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b/>
                <w:b/>
                <w:color w:val="000000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  <w:t>Наименование застройки</w:t>
            </w:r>
          </w:p>
        </w:tc>
        <w:tc>
          <w:tcPr>
            <w:tcW w:w="4991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b/>
                <w:b/>
                <w:color w:val="000000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  <w:t>Расчетные тепловые нагрузки, Гкал/час</w:t>
            </w:r>
          </w:p>
        </w:tc>
      </w:tr>
      <w:tr>
        <w:trPr>
          <w:tblHeader w:val="true"/>
          <w:trHeight w:val="20" w:hRule="atLeast"/>
        </w:trPr>
        <w:tc>
          <w:tcPr>
            <w:tcW w:w="4677" w:type="dxa"/>
            <w:vMerge w:val="continue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b/>
                <w:b/>
                <w:color w:val="000000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b/>
                <w:b/>
                <w:color w:val="000000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  <w:t>Отопление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b/>
                <w:b/>
                <w:color w:val="000000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  <w:t>Вентиляция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b/>
                <w:b/>
                <w:color w:val="000000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  <w:t>ГВС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b/>
                <w:b/>
                <w:color w:val="000000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  <w:t>Итого</w:t>
            </w:r>
          </w:p>
        </w:tc>
      </w:tr>
      <w:tr>
        <w:trPr>
          <w:trHeight w:val="20" w:hRule="atLeast"/>
        </w:trPr>
        <w:tc>
          <w:tcPr>
            <w:tcW w:w="9668" w:type="dxa"/>
            <w:gridSpan w:val="5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lang w:val="ru-RU"/>
              </w:rPr>
              <w:t>Децентрализованное теплоснабжени</w:t>
            </w:r>
            <w:r>
              <w:rPr>
                <w:rFonts w:cs="Times New Roman" w:ascii="Times New Roman" w:hAnsi="Times New Roman"/>
                <w:color w:val="000000"/>
              </w:rPr>
              <w:t>е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Индивидуальная жилая застройка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27,566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5,001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32,567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Зона обороны и безопасности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26,870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0,639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40,944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Итого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bottom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54,436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bottom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bottom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5,640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bottom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73,511</w:t>
            </w:r>
          </w:p>
        </w:tc>
      </w:tr>
      <w:tr>
        <w:trPr>
          <w:trHeight w:val="20" w:hRule="atLeast"/>
        </w:trPr>
        <w:tc>
          <w:tcPr>
            <w:tcW w:w="9668" w:type="dxa"/>
            <w:gridSpan w:val="5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Централизованное теплоснабжение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Малоэтажная жилая застройка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24,548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8,438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30,986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Среднеэтажная жилая застройка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38,346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8,743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47,089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Общественно-деловая застройка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32,948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6,936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0,626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40,510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Здравоохранение и социальная защита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4,948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3,848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0,456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9,252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Зона спортивного назначения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3,516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2,452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0,203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6,171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Учебно-образовательная зона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12,124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2,772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1,037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15,933</w:t>
            </w:r>
          </w:p>
        </w:tc>
      </w:tr>
      <w:tr>
        <w:trPr>
          <w:trHeight w:val="20" w:hRule="atLeast"/>
        </w:trPr>
        <w:tc>
          <w:tcPr>
            <w:tcW w:w="46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center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Итого</w:t>
            </w:r>
          </w:p>
        </w:tc>
        <w:tc>
          <w:tcPr>
            <w:tcW w:w="133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bottom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116,430</w:t>
            </w:r>
          </w:p>
        </w:tc>
        <w:tc>
          <w:tcPr>
            <w:tcW w:w="1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bottom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16,008</w:t>
            </w:r>
          </w:p>
        </w:tc>
        <w:tc>
          <w:tcPr>
            <w:tcW w:w="11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bottom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19,503</w:t>
            </w:r>
          </w:p>
        </w:tc>
        <w:tc>
          <w:tcPr>
            <w:tcW w:w="100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color="auto" w:fill="FFFFFF" w:val="clear"/>
            <w:vAlign w:val="bottom"/>
          </w:tcPr>
          <w:p>
            <w:pPr>
              <w:pStyle w:val="Normal"/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151,941</w:t>
            </w:r>
          </w:p>
        </w:tc>
      </w:tr>
    </w:tbl>
    <w:p>
      <w:pPr>
        <w:pStyle w:val="G3"/>
        <w:rPr>
          <w:rFonts w:ascii="Times New Roman" w:hAnsi="Times New Roman"/>
        </w:rPr>
      </w:pPr>
      <w:r>
        <w:rPr>
          <w:rFonts w:ascii="Times New Roman" w:hAnsi="Times New Roman"/>
        </w:rPr>
        <w:t>Примечание: тепловая нагрузка дана без учёта собственных нужд источников тепла, утечек и тепловых потерь в сетях. Тепловые нагрузки на промышленные объекты в расчете не учтены.</w:t>
      </w:r>
    </w:p>
    <w:p>
      <w:pPr>
        <w:pStyle w:val="G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Суммарная расчетная тепловая нагрузка жилой и общественно-деловой застройки составит 225,452 Гкал/час. </w:t>
      </w:r>
    </w:p>
    <w:p>
      <w:pPr>
        <w:pStyle w:val="G3"/>
        <w:rPr>
          <w:rFonts w:ascii="Times New Roman" w:hAnsi="Times New Roman"/>
        </w:rPr>
      </w:pPr>
      <w:r>
        <w:rPr>
          <w:rFonts w:ascii="Times New Roman" w:hAnsi="Times New Roman"/>
        </w:rPr>
        <w:t>Таким образом, для обеспечения теплоснабжением новых потребителей, улучшения качества предоставляемых услуг и повышения надежности системы теплоснабжения, схемой теплоснабжения предусмотрены следующие мероприятия:</w:t>
      </w:r>
    </w:p>
    <w:p>
      <w:pPr>
        <w:pStyle w:val="G2"/>
        <w:numPr>
          <w:ilvl w:val="0"/>
          <w:numId w:val="5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реконструкция существующих котельных;</w:t>
      </w:r>
    </w:p>
    <w:p>
      <w:pPr>
        <w:pStyle w:val="G2"/>
        <w:numPr>
          <w:ilvl w:val="0"/>
          <w:numId w:val="5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строительство новых  котельных;</w:t>
      </w:r>
    </w:p>
    <w:p>
      <w:pPr>
        <w:pStyle w:val="G2"/>
        <w:numPr>
          <w:ilvl w:val="0"/>
          <w:numId w:val="5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реконструкция и строительство магистральных тепловых сетей протяженностью 30 км от котельных до потребителей; </w:t>
      </w:r>
    </w:p>
    <w:p>
      <w:pPr>
        <w:pStyle w:val="G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Проектом предусмотрено внедрение энергосберегающих технологий на всех этапах производства, транспортировки и потребления тепла. В качестве энергосберегающих технологий предлагается применение трубопроводов в современной тепловой ППУ изоляции, установка частотно-регулируемых приводов на насосы, </w:t>
      </w:r>
      <w:hyperlink r:id="rId53">
        <w:r>
          <w:rPr>
            <w:rStyle w:val="ListLabel16"/>
            <w:rFonts w:ascii="Times New Roman" w:hAnsi="Times New Roman"/>
          </w:rPr>
          <w:t>установка приборов учета тепловой энергии</w:t>
        </w:r>
      </w:hyperlink>
      <w:r>
        <w:rPr>
          <w:rFonts w:ascii="Times New Roman" w:hAnsi="Times New Roman"/>
        </w:rPr>
        <w:t>, устройство средств диагностики оборудования и трубопроводов.</w:t>
      </w:r>
    </w:p>
    <w:p>
      <w:pPr>
        <w:pStyle w:val="G3"/>
        <w:rPr>
          <w:rFonts w:ascii="Times New Roman" w:hAnsi="Times New Roman"/>
        </w:rPr>
      </w:pPr>
      <w:r>
        <w:rPr>
          <w:rFonts w:ascii="Times New Roman" w:hAnsi="Times New Roman"/>
        </w:rPr>
        <w:t>Таким образом, основные решения схемы теплоснабжения направлены:</w:t>
      </w:r>
    </w:p>
    <w:p>
      <w:pPr>
        <w:pStyle w:val="G2"/>
        <w:numPr>
          <w:ilvl w:val="0"/>
          <w:numId w:val="5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на обеспечение развитие и модернизацию системы теплоснабжения;</w:t>
      </w:r>
    </w:p>
    <w:p>
      <w:pPr>
        <w:pStyle w:val="G2"/>
        <w:numPr>
          <w:ilvl w:val="0"/>
          <w:numId w:val="5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на повышение надежность и эффективность функционирования системы теплоснабжения;</w:t>
      </w:r>
    </w:p>
    <w:p>
      <w:pPr>
        <w:pStyle w:val="G2"/>
        <w:numPr>
          <w:ilvl w:val="0"/>
          <w:numId w:val="5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на обеспечение теплоснабжения существующей застройки, а также территорий, планируемых под строительство;</w:t>
      </w:r>
    </w:p>
    <w:p>
      <w:pPr>
        <w:pStyle w:val="G2"/>
        <w:numPr>
          <w:ilvl w:val="0"/>
          <w:numId w:val="5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на снижение уровня износа сетей и объектов теплоснабжения;</w:t>
      </w:r>
    </w:p>
    <w:p>
      <w:pPr>
        <w:pStyle w:val="G2"/>
        <w:numPr>
          <w:ilvl w:val="0"/>
          <w:numId w:val="5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на улучшение гидравлического режим работы сетей теплоснабжения;</w:t>
      </w:r>
    </w:p>
    <w:p>
      <w:pPr>
        <w:pStyle w:val="G2"/>
        <w:numPr>
          <w:ilvl w:val="0"/>
          <w:numId w:val="5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на снижение доли потерь тепловой энергии при транспортировке;</w:t>
      </w:r>
    </w:p>
    <w:p>
      <w:pPr>
        <w:sectPr>
          <w:footerReference w:type="default" r:id="rId54"/>
          <w:type w:val="nextPage"/>
          <w:pgSz w:w="11906" w:h="16838"/>
          <w:pgMar w:left="1531" w:right="707" w:header="0" w:top="567" w:footer="175" w:bottom="1276" w:gutter="0"/>
          <w:pgNumType w:fmt="decimal"/>
          <w:formProt w:val="false"/>
          <w:textDirection w:val="lrTb"/>
          <w:docGrid w:type="default" w:linePitch="100" w:charSpace="4096"/>
        </w:sectPr>
        <w:pStyle w:val="G2"/>
        <w:numPr>
          <w:ilvl w:val="0"/>
          <w:numId w:val="5"/>
        </w:numPr>
        <w:ind w:left="0" w:firstLine="709"/>
        <w:rPr>
          <w:rFonts w:ascii="Times New Roman" w:hAnsi="Times New Roman"/>
          <w:b/>
          <w:b/>
          <w:color w:val="000000" w:themeColor="text1"/>
          <w:sz w:val="28"/>
          <w:szCs w:val="28"/>
        </w:rPr>
      </w:pPr>
      <w:r>
        <w:rPr>
          <w:rFonts w:ascii="Times New Roman" w:hAnsi="Times New Roman"/>
        </w:rPr>
        <w:t>на повышение уровня автоматизации, диспетчеризации и учета отпуска тепловой энергии.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>
      <w:pPr>
        <w:pStyle w:val="Normal"/>
        <w:spacing w:lineRule="auto" w:line="276"/>
        <w:jc w:val="right"/>
        <w:rPr>
          <w:rFonts w:ascii="Times New Roman" w:hAnsi="Times New Roman" w:eastAsia="Calibri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val="ru-RU"/>
        </w:rPr>
        <w:t>Приложение 5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  <w:t>Схемы существующих теплосетей котельных г. Борзя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ru-RU"/>
        </w:rPr>
        <w:t>Схема теплосети от Модульной котельной представлена на рис. 1.</w:t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/>
        <w:drawing>
          <wp:inline distT="0" distB="0" distL="0" distR="0">
            <wp:extent cx="5928360" cy="2407920"/>
            <wp:effectExtent l="0" t="0" r="0" b="0"/>
            <wp:docPr id="3" name="Рисунок 2" descr="C:\Users\Полина\Desktop\Борзинское\моду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Полина\Desktop\Борзинское\модульная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ru-RU"/>
        </w:rPr>
        <w:t>Рис.1.</w:t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ru-RU"/>
        </w:rPr>
        <w:t>Схемы теплосети от котельной «Госпиталь» и «Центральная» представлены на рис. 2.</w:t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/>
        <w:drawing>
          <wp:inline distT="0" distB="0" distL="0" distR="0">
            <wp:extent cx="5920740" cy="3520440"/>
            <wp:effectExtent l="0" t="0" r="0" b="0"/>
            <wp:docPr id="4" name="Рисунок 3" descr="C:\Users\Полина\Desktop\Борзинское\госпиталь и 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олина\Desktop\Борзинское\госпиталь и центральная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84" w:leader="none"/>
        </w:tabs>
        <w:spacing w:lineRule="auto" w:line="276" w:before="0" w:after="60"/>
        <w:ind w:right="-6" w:hanging="0"/>
        <w:jc w:val="center"/>
        <w:rPr/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ru-RU"/>
        </w:rPr>
        <w:t>Рис. 2.</w:t>
      </w:r>
    </w:p>
    <w:sectPr>
      <w:headerReference w:type="default" r:id="rId57"/>
      <w:footerReference w:type="default" r:id="rId58"/>
      <w:type w:val="nextPage"/>
      <w:pgSz w:w="11906" w:h="16838"/>
      <w:pgMar w:left="1300" w:right="1273" w:header="720" w:top="777" w:footer="720" w:bottom="777" w:gutter="0"/>
      <w:pgNumType w:fmt="decimal"/>
      <w:formProt w:val="false"/>
      <w:titlePg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Calibri Light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cc"/>
    <w:family w:val="roman"/>
    <w:pitch w:val="variable"/>
  </w:font>
  <w:font w:name="Consolas">
    <w:charset w:val="cc"/>
    <w:family w:val="roman"/>
    <w:pitch w:val="variable"/>
  </w:font>
  <w:font w:name="Tahoma">
    <w:charset w:val="cc"/>
    <w:family w:val="roman"/>
    <w:pitch w:val="variable"/>
  </w:font>
  <w:font w:name="Segoe UI">
    <w:charset w:val="cc"/>
    <w:family w:val="roman"/>
    <w:pitch w:val="variable"/>
  </w:font>
  <w:font w:name="Symbol">
    <w:charset w:val="cc"/>
    <w:family w:val="roman"/>
    <w:pitch w:val="variable"/>
  </w:font>
  <w:font w:name="Wingdings">
    <w:charset w:val="cc"/>
    <w:family w:val="roman"/>
    <w:pitch w:val="variable"/>
  </w:font>
  <w:font w:name="Stenci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ISOCPEUR">
    <w:charset w:val="cc"/>
    <w:family w:val="roman"/>
    <w:pitch w:val="variable"/>
  </w:font>
  <w:font w:name="Arial Unicode MS">
    <w:charset w:val="cc"/>
    <w:family w:val="roman"/>
    <w:pitch w:val="variable"/>
  </w:font>
  <w:font w:name="Garamond MT">
    <w:charset w:val="cc"/>
    <w:family w:val="roman"/>
    <w:pitch w:val="variable"/>
  </w:font>
  <w:font w:name="Verdana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115"/>
      <w:rPr/>
    </w:pPr>
    <w:r>
      <w:rPr/>
    </w:r>
  </w:p>
  <w:p>
    <w:pPr>
      <w:pStyle w:val="115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913620456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10428503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17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75393053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18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54180019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19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47093974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20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80892427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85703197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22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81161152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23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5398209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25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82297396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26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115"/>
      <w:rPr/>
    </w:pPr>
    <w:r>
      <w:rPr/>
    </w:r>
  </w:p>
  <w:p>
    <w:pPr>
      <w:pStyle w:val="115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46839223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28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33222880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29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43979055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30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10860577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31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53001926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32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97231109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34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85715773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37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29894492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39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791132091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41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950787866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42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63280281"/>
    </w:sdtPr>
    <w:sdtContent>
      <w:p>
        <w:pPr>
          <w:pStyle w:val="115"/>
          <w:jc w:val="right"/>
          <w:rPr/>
        </w:pPr>
        <w:r>
          <w:rPr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963607075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44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53497210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46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88961027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50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721102497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52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107726841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53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115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54</w:t>
    </w:r>
    <w:r>
      <w:rPr/>
      <w:fldChar w:fldCharType="end"/>
    </w:r>
    <w:r>
      <mc:AlternateContent>
        <mc:Choice Requires="wps">
          <w:drawing>
            <wp:anchor behindDoc="0" distT="0" distB="0" distL="114300" distR="114300" simplePos="0" locked="0" layoutInCell="1" allowOverlap="1" relativeHeight="2">
              <wp:simplePos x="0" y="0"/>
              <wp:positionH relativeFrom="page">
                <wp:posOffset>809625</wp:posOffset>
              </wp:positionH>
              <wp:positionV relativeFrom="paragraph">
                <wp:posOffset>654685</wp:posOffset>
              </wp:positionV>
              <wp:extent cx="6383655" cy="2166620"/>
              <wp:effectExtent l="0" t="0" r="0" b="0"/>
              <wp:wrapTopAndBottom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3655" cy="2166620"/>
                      </a:xfrm>
                      <a:prstGeom prst="rect"/>
                    </wps:spPr>
                    <wps:txbx>
                      <w:txbxContent>
                        <w:tbl>
                          <w:tblPr>
                            <w:tblStyle w:val="TableNormal"/>
                            <w:tblW w:w="9644" w:type="dxa"/>
                            <w:jc w:val="left"/>
                            <w:tblInd w:w="5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  <w:tblLook w:firstRow="1" w:noVBand="0" w:lastRow="1" w:firstColumn="1" w:lastColumn="1" w:noHBand="0" w:val="01e0"/>
                          </w:tblPr>
                          <w:tblGrid>
                            <w:gridCol w:w="758"/>
                            <w:gridCol w:w="3049"/>
                            <w:gridCol w:w="2253"/>
                            <w:gridCol w:w="843"/>
                            <w:gridCol w:w="1304"/>
                            <w:gridCol w:w="1436"/>
                          </w:tblGrid>
                          <w:tr>
                            <w:trPr>
                              <w:trHeight w:val="213" w:hRule="atLeast"/>
                            </w:trPr>
                            <w:tc>
                              <w:tcPr>
                                <w:tcW w:w="758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sdt>
                                <w:sdtPr>
                                  <w:docPartObj>
                                    <w:docPartGallery w:val="Page Numbers (Bottom of Page)"/>
                                    <w:docPartUnique w:val="true"/>
                                  </w:docPartObj>
                                  <w:id w:val="1292197140"/>
                                </w:sdtPr>
                                <w:sdtContent>
                                  <w:p>
                                    <w:pPr>
                                      <w:pStyle w:val="TableParagraph"/>
                                      <w:widowControl w:val="false"/>
                                      <w:spacing w:before="6" w:after="0"/>
                                      <w:jc w:val="left"/>
                                      <w:rPr>
                                        <w:sz w:val="2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6"/>
                                        <w:lang w:val="en-US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widowControl w:val="false"/>
                                      <w:ind w:left="213" w:firstLine="851"/>
                                      <w:jc w:val="left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w w:val="103"/>
                                        <w:lang w:val="en-US"/>
                                      </w:rPr>
                                      <w:t>№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widowControl w:val="false"/>
                                      <w:spacing w:before="12" w:after="0"/>
                                      <w:ind w:left="182" w:firstLine="851"/>
                                      <w:jc w:val="left"/>
                                      <w:rPr>
                                        <w:sz w:val="23"/>
                                      </w:rPr>
                                    </w:pPr>
                                    <w:r>
                                      <w:rPr>
                                        <w:sz w:val="23"/>
                                        <w:lang w:val="en-US"/>
                                      </w:rPr>
                                      <w:t>п/п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3049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auto" w:line="247" w:before="152" w:after="0"/>
                                  <w:ind w:left="677" w:right="634" w:hanging="43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Наименование муниципального образования</w:t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jc w:val="left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spacing w:before="155" w:after="0"/>
                                  <w:ind w:left="540" w:firstLine="851"/>
                                  <w:jc w:val="left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Вид тарифа</w:t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jc w:val="left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spacing w:before="155" w:after="0"/>
                                  <w:ind w:left="237" w:firstLine="851"/>
                                  <w:jc w:val="left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Год</w:t>
                                </w:r>
                              </w:p>
                            </w:tc>
                            <w:tc>
                              <w:tcPr>
                                <w:tcW w:w="2740" w:type="dxa"/>
                                <w:gridSpan w:val="2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5" w:before="8" w:after="0"/>
                                  <w:ind w:left="387" w:firstLine="851"/>
                                  <w:jc w:val="left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Вид теплоносителя</w:t>
                                </w:r>
                              </w:p>
                            </w:tc>
                          </w:tr>
                          <w:tr>
                            <w:trPr>
                              <w:trHeight w:val="205" w:hRule="atLeast"/>
                            </w:trPr>
                            <w:tc>
                              <w:tcPr>
                                <w:tcW w:w="758" w:type="dxa"/>
                                <w:vMerge w:val="continue"/>
                                <w:tcBorders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3049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2740" w:type="dxa"/>
                                <w:gridSpan w:val="2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3" w:after="0"/>
                                  <w:ind w:left="1100" w:right="1079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Вода</w:t>
                                </w:r>
                              </w:p>
                            </w:tc>
                          </w:tr>
                          <w:tr>
                            <w:trPr>
                              <w:trHeight w:val="428" w:hRule="atLeast"/>
                            </w:trPr>
                            <w:tc>
                              <w:tcPr>
                                <w:tcW w:w="758" w:type="dxa"/>
                                <w:vMerge w:val="continue"/>
                                <w:tcBorders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3049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1304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before="13" w:after="0"/>
                                  <w:ind w:left="113" w:firstLine="851"/>
                                  <w:jc w:val="left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01 января</w:t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9" w:after="0"/>
                                  <w:ind w:left="165" w:firstLine="851"/>
                                  <w:jc w:val="left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30 июня</w:t>
                                </w:r>
                              </w:p>
                            </w:tc>
                            <w:tc>
                              <w:tcPr>
                                <w:tcW w:w="1436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before="13" w:after="0"/>
                                  <w:ind w:left="150" w:right="81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01 июля</w:t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9" w:after="0"/>
                                  <w:ind w:left="150" w:right="120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31 декабря</w:t>
                                </w:r>
                              </w:p>
                            </w:tc>
                          </w:tr>
                          <w:tr>
                            <w:trPr>
                              <w:trHeight w:val="217" w:hRule="atLeast"/>
                            </w:trPr>
                            <w:tc>
                              <w:tcPr>
                                <w:tcW w:w="758" w:type="dxa"/>
                                <w:tcBorders>
                                  <w:top w:val="single" w:sz="6" w:space="0" w:color="000000"/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5" w:before="13" w:after="0"/>
                                  <w:ind w:left="28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3"/>
                                    <w:sz w:val="23"/>
                                    <w:lang w:val="en-US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8885" w:type="dxa"/>
                                <w:gridSpan w:val="5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5" w:before="13" w:after="0"/>
                                  <w:ind w:left="2174" w:firstLine="851"/>
                                  <w:jc w:val="left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sz w:val="23"/>
                                    <w:lang w:val="en-US"/>
                                  </w:rPr>
                                  <w:t>Муниципальный район «Борзинский район»</w:t>
                                </w:r>
                              </w:p>
                            </w:tc>
                          </w:tr>
                          <w:tr>
                            <w:trPr>
                              <w:trHeight w:val="424" w:hRule="atLeast"/>
                            </w:trPr>
                            <w:tc>
                              <w:tcPr>
                                <w:tcW w:w="758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jc w:val="left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jc w:val="left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spacing w:before="8" w:after="0"/>
                                  <w:jc w:val="left"/>
                                  <w:rPr>
                                    <w:sz w:val="26"/>
                                    <w:lang w:val="en-US"/>
                                  </w:rPr>
                                </w:pPr>
                                <w:r>
                                  <w:rPr>
                                    <w:sz w:val="26"/>
                                    <w:lang w:val="en-US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ind w:left="187" w:firstLine="851"/>
                                  <w:jc w:val="left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3.1</w:t>
                                </w:r>
                              </w:p>
                            </w:tc>
                            <w:tc>
                              <w:tcPr>
                                <w:tcW w:w="3049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jc w:val="left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jc w:val="left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spacing w:before="167" w:after="0"/>
                                  <w:ind w:left="408" w:right="397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Городское поселение</w:t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spacing w:before="15" w:after="0"/>
                                  <w:ind w:left="398" w:right="397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«Борзинское»</w:t>
                                </w:r>
                              </w:p>
                            </w:tc>
                            <w:tc>
                              <w:tcPr>
                                <w:tcW w:w="5836" w:type="dxa"/>
                                <w:gridSpan w:val="4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before="3" w:after="0"/>
                                  <w:ind w:left="348" w:right="332" w:firstLine="851"/>
                                  <w:rPr>
                                    <w:sz w:val="23"/>
                                    <w:lang w:val="ru-RU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ru-RU"/>
                                  </w:rPr>
                                  <w:t>Для потребителей, в случае отсутствия</w:t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15" w:after="0"/>
                                  <w:ind w:left="350" w:right="332" w:firstLine="851"/>
                                  <w:rPr>
                                    <w:sz w:val="23"/>
                                    <w:lang w:val="ru-RU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ru-RU"/>
                                  </w:rPr>
                                  <w:t>дифференциации тарифов по схеме подключения</w:t>
                                </w:r>
                              </w:p>
                            </w:tc>
                          </w:tr>
                          <w:tr>
                            <w:trPr>
                              <w:trHeight w:val="213" w:hRule="atLeast"/>
                            </w:trPr>
                            <w:tc>
                              <w:tcPr>
                                <w:tcW w:w="758" w:type="dxa"/>
                                <w:vMerge w:val="continue"/>
                                <w:tcBorders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ru-RU"/>
                                  </w:rPr>
                                </w:r>
                              </w:p>
                            </w:tc>
                            <w:tc>
                              <w:tcPr>
                                <w:tcW w:w="3049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ru-RU"/>
                                  </w:rPr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jc w:val="left"/>
                                  <w:rPr>
                                    <w:sz w:val="24"/>
                                    <w:lang w:val="ru-RU"/>
                                  </w:rPr>
                                </w:pPr>
                                <w:r>
                                  <w:rPr>
                                    <w:sz w:val="24"/>
                                    <w:lang w:val="ru-RU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widowControl w:val="false"/>
                                  <w:spacing w:lineRule="auto" w:line="247" w:before="169" w:after="0"/>
                                  <w:ind w:left="660" w:hanging="312"/>
                                  <w:jc w:val="left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sz w:val="23"/>
                                    <w:lang w:val="en-US"/>
                                  </w:rPr>
                                  <w:t xml:space="preserve">одноставочный </w:t>
                                </w: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руб./Гкал</w:t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13" w:after="0"/>
                                  <w:ind w:left="167" w:right="131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2019</w:t>
                                </w:r>
                              </w:p>
                            </w:tc>
                            <w:tc>
                              <w:tcPr>
                                <w:tcW w:w="1304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13" w:after="0"/>
                                  <w:ind w:left="206" w:right="184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2 978,43</w:t>
                                </w:r>
                              </w:p>
                            </w:tc>
                            <w:tc>
                              <w:tcPr>
                                <w:tcW w:w="1436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13" w:after="0"/>
                                  <w:ind w:left="144" w:right="120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2 978,43</w:t>
                                </w:r>
                              </w:p>
                            </w:tc>
                          </w:tr>
                          <w:tr>
                            <w:trPr>
                              <w:trHeight w:val="213" w:hRule="atLeast"/>
                            </w:trPr>
                            <w:tc>
                              <w:tcPr>
                                <w:tcW w:w="758" w:type="dxa"/>
                                <w:vMerge w:val="continue"/>
                                <w:tcBorders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3049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5" w:before="8" w:after="0"/>
                                  <w:ind w:left="167" w:right="136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2020</w:t>
                                </w:r>
                              </w:p>
                            </w:tc>
                            <w:tc>
                              <w:tcPr>
                                <w:tcW w:w="1304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5" w:before="8" w:after="0"/>
                                  <w:ind w:left="206" w:right="184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2 978,43</w:t>
                                </w:r>
                              </w:p>
                            </w:tc>
                            <w:tc>
                              <w:tcPr>
                                <w:tcW w:w="1436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5" w:before="8" w:after="0"/>
                                  <w:ind w:left="150" w:right="118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3 097,57</w:t>
                                </w:r>
                              </w:p>
                            </w:tc>
                          </w:tr>
                          <w:tr>
                            <w:trPr>
                              <w:trHeight w:val="213" w:hRule="atLeast"/>
                            </w:trPr>
                            <w:tc>
                              <w:tcPr>
                                <w:tcW w:w="758" w:type="dxa"/>
                                <w:vMerge w:val="continue"/>
                                <w:tcBorders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3049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5" w:before="8" w:after="0"/>
                                  <w:ind w:left="167" w:right="131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2021</w:t>
                                </w:r>
                              </w:p>
                            </w:tc>
                            <w:tc>
                              <w:tcPr>
                                <w:tcW w:w="1304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5" w:before="8" w:after="0"/>
                                  <w:ind w:left="213" w:right="184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3 097,57</w:t>
                                </w:r>
                              </w:p>
                            </w:tc>
                            <w:tc>
                              <w:tcPr>
                                <w:tcW w:w="1436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5" w:before="8" w:after="0"/>
                                  <w:ind w:left="150" w:right="119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3 221,47</w:t>
                                </w:r>
                              </w:p>
                            </w:tc>
                          </w:tr>
                          <w:tr>
                            <w:trPr>
                              <w:trHeight w:val="205" w:hRule="atLeast"/>
                            </w:trPr>
                            <w:tc>
                              <w:tcPr>
                                <w:tcW w:w="758" w:type="dxa"/>
                                <w:vMerge w:val="continue"/>
                                <w:tcBorders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3049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3" w:after="0"/>
                                  <w:ind w:left="167" w:right="131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2022</w:t>
                                </w:r>
                              </w:p>
                            </w:tc>
                            <w:tc>
                              <w:tcPr>
                                <w:tcW w:w="1304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3" w:after="0"/>
                                  <w:ind w:left="212" w:right="184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3 221,47</w:t>
                                </w:r>
                              </w:p>
                            </w:tc>
                            <w:tc>
                              <w:tcPr>
                                <w:tcW w:w="1436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40" w:before="3" w:after="0"/>
                                  <w:ind w:left="145" w:right="120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3 350,33</w:t>
                                </w:r>
                              </w:p>
                            </w:tc>
                          </w:tr>
                          <w:tr>
                            <w:trPr>
                              <w:trHeight w:val="209" w:hRule="atLeast"/>
                            </w:trPr>
                            <w:tc>
                              <w:tcPr>
                                <w:tcW w:w="758" w:type="dxa"/>
                                <w:vMerge w:val="continue"/>
                                <w:tcBorders>
                                  <w:left w:val="single" w:sz="4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3049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  <w:vMerge w:val="continue"/>
                                <w:tcBorders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Style45"/>
                                  <w:widowControl w:val="false"/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pPr>
                                <w:r>
                                  <w:rPr>
                                    <w:sz w:val="2"/>
                                    <w:szCs w:val="2"/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35" w:before="13" w:after="0"/>
                                  <w:ind w:left="167" w:right="136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2023</w:t>
                                </w:r>
                              </w:p>
                            </w:tc>
                            <w:tc>
                              <w:tcPr>
                                <w:tcW w:w="1304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35" w:before="13" w:after="0"/>
                                  <w:ind w:left="206" w:right="184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3 350,33</w:t>
                                </w:r>
                              </w:p>
                            </w:tc>
                            <w:tc>
                              <w:tcPr>
                                <w:tcW w:w="1436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TableParagraph"/>
                                  <w:widowControl w:val="false"/>
                                  <w:spacing w:lineRule="exact" w:line="235" w:before="13" w:after="0"/>
                                  <w:ind w:left="145" w:right="120" w:firstLine="85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105"/>
                                    <w:sz w:val="23"/>
                                    <w:lang w:val="en-US"/>
                                  </w:rPr>
                                  <w:t>3 484,35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28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Style28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02.65pt;height:170.6pt;mso-wrap-distance-left:9pt;mso-wrap-distance-right:9pt;mso-wrap-distance-top:0pt;mso-wrap-distance-bottom:0pt;margin-top:51.55pt;mso-position-vertical-relative:text;margin-left:63.75pt;mso-position-horizontal-relative:page">
              <v:textbox inset="0in,0in,0in,0in">
                <w:txbxContent>
                  <w:tbl>
                    <w:tblPr>
                      <w:tblStyle w:val="TableNormal"/>
                      <w:tblW w:w="9644" w:type="dxa"/>
                      <w:jc w:val="left"/>
                      <w:tblInd w:w="5" w:type="dxa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firstRow="1" w:noVBand="0" w:lastRow="1" w:firstColumn="1" w:lastColumn="1" w:noHBand="0" w:val="01e0"/>
                    </w:tblPr>
                    <w:tblGrid>
                      <w:gridCol w:w="758"/>
                      <w:gridCol w:w="3049"/>
                      <w:gridCol w:w="2253"/>
                      <w:gridCol w:w="843"/>
                      <w:gridCol w:w="1304"/>
                      <w:gridCol w:w="1436"/>
                    </w:tblGrid>
                    <w:tr>
                      <w:trPr>
                        <w:trHeight w:val="213" w:hRule="atLeast"/>
                      </w:trPr>
                      <w:tc>
                        <w:tcPr>
                          <w:tcW w:w="758" w:type="dxa"/>
                          <w:vMerge w:val="restart"/>
                          <w:tcBorders>
                            <w:top w:val="single" w:sz="6" w:space="0" w:color="000000"/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before="6" w:after="0"/>
                            <w:jc w:val="left"/>
                            <w:rPr>
                              <w:sz w:val="26"/>
                              <w:lang w:val="en-US"/>
                            </w:rPr>
                          </w:pPr>
                          <w:r>
                            <w:rPr>
                              <w:sz w:val="26"/>
                              <w:lang w:val="en-US"/>
                            </w:rPr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ind w:left="213" w:firstLine="851"/>
                            <w:jc w:val="left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w w:val="103"/>
                              <w:lang w:val="en-US"/>
                            </w:rPr>
                            <w:t>№</w:t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before="12" w:after="0"/>
                            <w:ind w:left="182" w:firstLine="851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  <w:lang w:val="en-US"/>
                            </w:rPr>
                            <w:t>п/п</w:t>
                          </w:r>
                        </w:p>
                      </w:tc>
                      <w:tc>
                        <w:tcPr>
                          <w:tcW w:w="3049" w:type="dxa"/>
                          <w:vMerge w:val="restart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auto" w:line="247" w:before="152" w:after="0"/>
                            <w:ind w:left="677" w:right="634" w:hanging="43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Наименование муниципального образования</w:t>
                          </w:r>
                        </w:p>
                      </w:tc>
                      <w:tc>
                        <w:tcPr>
                          <w:tcW w:w="2253" w:type="dxa"/>
                          <w:vMerge w:val="restart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jc w:val="left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lang w:val="en-US"/>
                            </w:rPr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before="155" w:after="0"/>
                            <w:ind w:left="540" w:firstLine="851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Вид тарифа</w:t>
                          </w:r>
                        </w:p>
                      </w:tc>
                      <w:tc>
                        <w:tcPr>
                          <w:tcW w:w="843" w:type="dxa"/>
                          <w:vMerge w:val="restart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jc w:val="left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lang w:val="en-US"/>
                            </w:rPr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before="155" w:after="0"/>
                            <w:ind w:left="237" w:firstLine="851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Год</w:t>
                          </w:r>
                        </w:p>
                      </w:tc>
                      <w:tc>
                        <w:tcPr>
                          <w:tcW w:w="2740" w:type="dxa"/>
                          <w:gridSpan w:val="2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5" w:before="8" w:after="0"/>
                            <w:ind w:left="387" w:firstLine="851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Вид теплоносителя</w:t>
                          </w:r>
                        </w:p>
                      </w:tc>
                    </w:tr>
                    <w:tr>
                      <w:trPr>
                        <w:trHeight w:val="205" w:hRule="atLeast"/>
                      </w:trPr>
                      <w:tc>
                        <w:tcPr>
                          <w:tcW w:w="758" w:type="dxa"/>
                          <w:vMerge w:val="continue"/>
                          <w:tcBorders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3049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2253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843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2740" w:type="dxa"/>
                          <w:gridSpan w:val="2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0" w:before="3" w:after="0"/>
                            <w:ind w:left="1100" w:right="1079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Вода</w:t>
                          </w:r>
                        </w:p>
                      </w:tc>
                    </w:tr>
                    <w:tr>
                      <w:trPr>
                        <w:trHeight w:val="428" w:hRule="atLeast"/>
                      </w:trPr>
                      <w:tc>
                        <w:tcPr>
                          <w:tcW w:w="758" w:type="dxa"/>
                          <w:vMerge w:val="continue"/>
                          <w:tcBorders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3049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2253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843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1304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before="13" w:after="0"/>
                            <w:ind w:left="113" w:firstLine="851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01 января</w:t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lineRule="exact" w:line="240" w:before="9" w:after="0"/>
                            <w:ind w:left="165" w:firstLine="851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30 июня</w:t>
                          </w:r>
                        </w:p>
                      </w:tc>
                      <w:tc>
                        <w:tcPr>
                          <w:tcW w:w="1436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before="13" w:after="0"/>
                            <w:ind w:left="150" w:right="81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01 июля</w:t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lineRule="exact" w:line="240" w:before="9" w:after="0"/>
                            <w:ind w:left="150" w:right="120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31 декабря</w:t>
                          </w:r>
                        </w:p>
                      </w:tc>
                    </w:tr>
                    <w:tr>
                      <w:trPr>
                        <w:trHeight w:val="217" w:hRule="atLeast"/>
                      </w:trPr>
                      <w:tc>
                        <w:tcPr>
                          <w:tcW w:w="758" w:type="dxa"/>
                          <w:tcBorders>
                            <w:top w:val="single" w:sz="6" w:space="0" w:color="000000"/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5" w:before="13" w:after="0"/>
                            <w:ind w:left="28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3"/>
                              <w:sz w:val="23"/>
                              <w:lang w:val="en-US"/>
                            </w:rPr>
                            <w:t>3</w:t>
                          </w:r>
                        </w:p>
                      </w:tc>
                      <w:tc>
                        <w:tcPr>
                          <w:tcW w:w="8885" w:type="dxa"/>
                          <w:gridSpan w:val="5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5" w:before="13" w:after="0"/>
                            <w:ind w:left="2174" w:firstLine="851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  <w:lang w:val="en-US"/>
                            </w:rPr>
                            <w:t>Муниципальный район «Борзинский район»</w:t>
                          </w:r>
                        </w:p>
                      </w:tc>
                    </w:tr>
                    <w:tr>
                      <w:trPr>
                        <w:trHeight w:val="424" w:hRule="atLeast"/>
                      </w:trPr>
                      <w:tc>
                        <w:tcPr>
                          <w:tcW w:w="758" w:type="dxa"/>
                          <w:vMerge w:val="restart"/>
                          <w:tcBorders>
                            <w:top w:val="single" w:sz="6" w:space="0" w:color="000000"/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jc w:val="left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lang w:val="en-US"/>
                            </w:rPr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jc w:val="left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lang w:val="en-US"/>
                            </w:rPr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before="8" w:after="0"/>
                            <w:jc w:val="left"/>
                            <w:rPr>
                              <w:sz w:val="26"/>
                              <w:lang w:val="en-US"/>
                            </w:rPr>
                          </w:pPr>
                          <w:r>
                            <w:rPr>
                              <w:sz w:val="26"/>
                              <w:lang w:val="en-US"/>
                            </w:rPr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ind w:left="187" w:firstLine="851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3.1</w:t>
                          </w:r>
                        </w:p>
                      </w:tc>
                      <w:tc>
                        <w:tcPr>
                          <w:tcW w:w="3049" w:type="dxa"/>
                          <w:vMerge w:val="restart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jc w:val="left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lang w:val="en-US"/>
                            </w:rPr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jc w:val="left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lang w:val="en-US"/>
                            </w:rPr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before="167" w:after="0"/>
                            <w:ind w:left="408" w:right="397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Городское поселение</w:t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before="15" w:after="0"/>
                            <w:ind w:left="398" w:right="397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«Борзинское»</w:t>
                          </w:r>
                        </w:p>
                      </w:tc>
                      <w:tc>
                        <w:tcPr>
                          <w:tcW w:w="5836" w:type="dxa"/>
                          <w:gridSpan w:val="4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before="3" w:after="0"/>
                            <w:ind w:left="348" w:right="332" w:firstLine="851"/>
                            <w:rPr>
                              <w:sz w:val="23"/>
                              <w:lang w:val="ru-RU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ru-RU"/>
                            </w:rPr>
                            <w:t>Для потребителей, в случае отсутствия</w:t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lineRule="exact" w:line="240" w:before="15" w:after="0"/>
                            <w:ind w:left="350" w:right="332" w:firstLine="851"/>
                            <w:rPr>
                              <w:sz w:val="23"/>
                              <w:lang w:val="ru-RU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ru-RU"/>
                            </w:rPr>
                            <w:t>дифференциации тарифов по схеме подключения</w:t>
                          </w:r>
                        </w:p>
                      </w:tc>
                    </w:tr>
                    <w:tr>
                      <w:trPr>
                        <w:trHeight w:val="213" w:hRule="atLeast"/>
                      </w:trPr>
                      <w:tc>
                        <w:tcPr>
                          <w:tcW w:w="758" w:type="dxa"/>
                          <w:vMerge w:val="continue"/>
                          <w:tcBorders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ru-RU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ru-RU"/>
                            </w:rPr>
                          </w:r>
                        </w:p>
                      </w:tc>
                      <w:tc>
                        <w:tcPr>
                          <w:tcW w:w="3049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ru-RU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ru-RU"/>
                            </w:rPr>
                          </w:r>
                        </w:p>
                      </w:tc>
                      <w:tc>
                        <w:tcPr>
                          <w:tcW w:w="2253" w:type="dxa"/>
                          <w:vMerge w:val="restart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jc w:val="left"/>
                            <w:rPr>
                              <w:sz w:val="24"/>
                              <w:lang w:val="ru-RU"/>
                            </w:rPr>
                          </w:pPr>
                          <w:r>
                            <w:rPr>
                              <w:sz w:val="24"/>
                              <w:lang w:val="ru-RU"/>
                            </w:rPr>
                          </w:r>
                        </w:p>
                        <w:p>
                          <w:pPr>
                            <w:pStyle w:val="TableParagraph"/>
                            <w:widowControl w:val="false"/>
                            <w:spacing w:lineRule="auto" w:line="247" w:before="169" w:after="0"/>
                            <w:ind w:left="660" w:hanging="312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  <w:lang w:val="en-US"/>
                            </w:rPr>
                            <w:t xml:space="preserve">одноставочный </w:t>
                          </w: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руб./Гкал</w:t>
                          </w:r>
                        </w:p>
                      </w:tc>
                      <w:tc>
                        <w:tcPr>
                          <w:tcW w:w="843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0" w:before="13" w:after="0"/>
                            <w:ind w:left="167" w:right="131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2019</w:t>
                          </w:r>
                        </w:p>
                      </w:tc>
                      <w:tc>
                        <w:tcPr>
                          <w:tcW w:w="1304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0" w:before="13" w:after="0"/>
                            <w:ind w:left="206" w:right="184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2 978,43</w:t>
                          </w:r>
                        </w:p>
                      </w:tc>
                      <w:tc>
                        <w:tcPr>
                          <w:tcW w:w="1436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0" w:before="13" w:after="0"/>
                            <w:ind w:left="144" w:right="120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2 978,43</w:t>
                          </w:r>
                        </w:p>
                      </w:tc>
                    </w:tr>
                    <w:tr>
                      <w:trPr>
                        <w:trHeight w:val="213" w:hRule="atLeast"/>
                      </w:trPr>
                      <w:tc>
                        <w:tcPr>
                          <w:tcW w:w="758" w:type="dxa"/>
                          <w:vMerge w:val="continue"/>
                          <w:tcBorders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3049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2253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843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5" w:before="8" w:after="0"/>
                            <w:ind w:left="167" w:right="136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2020</w:t>
                          </w:r>
                        </w:p>
                      </w:tc>
                      <w:tc>
                        <w:tcPr>
                          <w:tcW w:w="1304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5" w:before="8" w:after="0"/>
                            <w:ind w:left="206" w:right="184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2 978,43</w:t>
                          </w:r>
                        </w:p>
                      </w:tc>
                      <w:tc>
                        <w:tcPr>
                          <w:tcW w:w="1436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5" w:before="8" w:after="0"/>
                            <w:ind w:left="150" w:right="118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3 097,57</w:t>
                          </w:r>
                        </w:p>
                      </w:tc>
                    </w:tr>
                    <w:tr>
                      <w:trPr>
                        <w:trHeight w:val="213" w:hRule="atLeast"/>
                      </w:trPr>
                      <w:tc>
                        <w:tcPr>
                          <w:tcW w:w="758" w:type="dxa"/>
                          <w:vMerge w:val="continue"/>
                          <w:tcBorders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3049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2253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843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5" w:before="8" w:after="0"/>
                            <w:ind w:left="167" w:right="131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2021</w:t>
                          </w:r>
                        </w:p>
                      </w:tc>
                      <w:tc>
                        <w:tcPr>
                          <w:tcW w:w="1304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5" w:before="8" w:after="0"/>
                            <w:ind w:left="213" w:right="184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3 097,57</w:t>
                          </w:r>
                        </w:p>
                      </w:tc>
                      <w:tc>
                        <w:tcPr>
                          <w:tcW w:w="1436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5" w:before="8" w:after="0"/>
                            <w:ind w:left="150" w:right="119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3 221,47</w:t>
                          </w:r>
                        </w:p>
                      </w:tc>
                    </w:tr>
                    <w:tr>
                      <w:trPr>
                        <w:trHeight w:val="205" w:hRule="atLeast"/>
                      </w:trPr>
                      <w:tc>
                        <w:tcPr>
                          <w:tcW w:w="758" w:type="dxa"/>
                          <w:vMerge w:val="continue"/>
                          <w:tcBorders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3049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2253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843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0" w:before="3" w:after="0"/>
                            <w:ind w:left="167" w:right="131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2022</w:t>
                          </w:r>
                        </w:p>
                      </w:tc>
                      <w:tc>
                        <w:tcPr>
                          <w:tcW w:w="1304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0" w:before="3" w:after="0"/>
                            <w:ind w:left="212" w:right="184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3 221,47</w:t>
                          </w:r>
                        </w:p>
                      </w:tc>
                      <w:tc>
                        <w:tcPr>
                          <w:tcW w:w="1436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40" w:before="3" w:after="0"/>
                            <w:ind w:left="145" w:right="120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3 350,33</w:t>
                          </w:r>
                        </w:p>
                      </w:tc>
                    </w:tr>
                    <w:tr>
                      <w:trPr>
                        <w:trHeight w:val="209" w:hRule="atLeast"/>
                      </w:trPr>
                      <w:tc>
                        <w:tcPr>
                          <w:tcW w:w="758" w:type="dxa"/>
                          <w:vMerge w:val="continue"/>
                          <w:tcBorders>
                            <w:left w:val="single" w:sz="4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3049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2253" w:type="dxa"/>
                          <w:vMerge w:val="continue"/>
                          <w:tcBorders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Style45"/>
                            <w:widowControl w:val="false"/>
                            <w:rPr>
                              <w:sz w:val="2"/>
                              <w:szCs w:val="2"/>
                              <w:lang w:val="en-US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843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35" w:before="13" w:after="0"/>
                            <w:ind w:left="167" w:right="136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2023</w:t>
                          </w:r>
                        </w:p>
                      </w:tc>
                      <w:tc>
                        <w:tcPr>
                          <w:tcW w:w="1304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35" w:before="13" w:after="0"/>
                            <w:ind w:left="206" w:right="184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3 350,33</w:t>
                          </w:r>
                        </w:p>
                      </w:tc>
                      <w:tc>
                        <w:tcPr>
                          <w:tcW w:w="1436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shd w:fill="auto" w:val="clear"/>
                        </w:tcPr>
                        <w:p>
                          <w:pPr>
                            <w:pStyle w:val="TableParagraph"/>
                            <w:widowControl w:val="false"/>
                            <w:spacing w:lineRule="exact" w:line="235" w:before="13" w:after="0"/>
                            <w:ind w:left="145" w:right="120" w:firstLine="851"/>
                            <w:rPr>
                              <w:sz w:val="23"/>
                            </w:rPr>
                          </w:pPr>
                          <w:r>
                            <w:rPr>
                              <w:w w:val="105"/>
                              <w:sz w:val="23"/>
                              <w:lang w:val="en-US"/>
                            </w:rPr>
                            <w:t>3 484,35</w:t>
                          </w:r>
                        </w:p>
                      </w:tc>
                    </w:tr>
                  </w:tbl>
                  <w:p>
                    <w:pPr>
                      <w:pStyle w:val="Style28"/>
                      <w:rPr/>
                    </w:pPr>
                    <w:r>
                      <w:rPr/>
                    </w:r>
                  </w:p>
                  <w:p>
                    <w:pPr>
                      <w:pStyle w:val="Style28"/>
                      <w:rPr/>
                    </w:pPr>
                    <w:r>
                      <w:rPr/>
                    </w:r>
                  </w:p>
                </w:txbxContent>
              </v:textbox>
              <w10:wrap type="topAndBottom"/>
            </v:rect>
          </w:pict>
        </mc:Fallback>
      </mc:AlternateContent>
    </w:r>
  </w:p>
  <w:p>
    <w:pPr>
      <w:pStyle w:val="115"/>
      <w:tabs>
        <w:tab w:val="center" w:pos="4677" w:leader="none"/>
        <w:tab w:val="left" w:pos="8177" w:leader="none"/>
        <w:tab w:val="right" w:pos="9355" w:leader="none"/>
      </w:tabs>
      <w:rPr/>
    </w:pPr>
    <w:r>
      <w:rPr/>
      <w:tab/>
      <w:tab/>
    </w:r>
  </w:p>
  <w:p>
    <w:pPr>
      <w:pStyle w:val="115"/>
      <w:rPr/>
    </w:pPr>
    <w:r>
      <w:rPr/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764632829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63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07127203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65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895113596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78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21194898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91902855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79936228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11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729532735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37691471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14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27654160"/>
    </w:sdtPr>
    <w:sdtContent>
      <w:p>
        <w:pPr>
          <w:pStyle w:val="11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  <w:p>
        <w:pPr>
          <w:pStyle w:val="115"/>
          <w:tabs>
            <w:tab w:val="center" w:pos="4677" w:leader="none"/>
            <w:tab w:val="left" w:pos="8177" w:leader="none"/>
            <w:tab w:val="right" w:pos="9355" w:leader="none"/>
          </w:tabs>
          <w:rPr/>
        </w:pPr>
        <w:r>
          <w:rPr/>
          <w:tab/>
          <w:tab/>
        </w:r>
      </w:p>
      <w:p>
        <w:pPr>
          <w:pStyle w:val="115"/>
          <w:rPr/>
        </w:pPr>
        <w:r>
          <w:rPr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8"/>
      <w:spacing w:lineRule="auto" w:line="2"/>
      <w:rPr>
        <w:sz w:val="20"/>
      </w:rPr>
    </w:pPr>
    <w:r>
      <w:rPr>
        <w:sz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147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7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307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7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67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7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1434"/>
        </w:tabs>
        <w:ind w:left="1434" w:hanging="720"/>
      </w:p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lvlText w:val="%1.%2.%3.%4."/>
      <w:lvlJc w:val="left"/>
      <w:pPr>
        <w:tabs>
          <w:tab w:val="num" w:pos="3222"/>
        </w:tabs>
        <w:ind w:left="3222" w:hanging="1080"/>
      </w:pPr>
    </w:lvl>
    <w:lvl w:ilvl="4">
      <w:start w:val="1"/>
      <w:numFmt w:val="decimal"/>
      <w:lvlText w:val="%1.%2.%3.%4.%5."/>
      <w:lvlJc w:val="left"/>
      <w:pPr>
        <w:tabs>
          <w:tab w:val="num" w:pos="3936"/>
        </w:tabs>
        <w:ind w:left="3936" w:hanging="1080"/>
      </w:pPr>
    </w:lvl>
    <w:lvl w:ilvl="5">
      <w:start w:val="1"/>
      <w:numFmt w:val="decimal"/>
      <w:lvlText w:val="%1.%2.%3.%4.%5.%6."/>
      <w:lvlJc w:val="left"/>
      <w:pPr>
        <w:tabs>
          <w:tab w:val="num" w:pos="5010"/>
        </w:tabs>
        <w:ind w:left="50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84"/>
        </w:tabs>
        <w:ind w:left="608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98"/>
        </w:tabs>
        <w:ind w:left="679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72"/>
        </w:tabs>
        <w:ind w:left="7872" w:hanging="2160"/>
      </w:pPr>
    </w:lvl>
  </w:abstractNum>
  <w:abstractNum w:abstractNumId="3">
    <w:lvl w:ilvl="0">
      <w:start w:val="1"/>
      <w:numFmt w:val="decimal"/>
      <w:lvlText w:val="%1.......ꓬ"/>
      <w:lvlJc w:val="left"/>
      <w:pPr>
        <w:ind w:left="2520" w:hanging="2520"/>
      </w:pPr>
      <w:rPr>
        <w:sz w:val="24"/>
        <w:b w:val="false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decimal"/>
      <w:lvlText w:val="%9......."/>
      <w:lvlJc w:val="left"/>
      <w:pPr>
        <w:ind w:left="1800" w:hanging="1800"/>
      </w:pPr>
      <w:rPr>
        <w:sz w:val="24"/>
        <w:b w:val="false"/>
      </w:rPr>
    </w:lvl>
  </w:abstractNum>
  <w:abstractNum w:abstractNumId="4"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712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638" w:hanging="1080"/>
      </w:pPr>
    </w:lvl>
    <w:lvl w:ilvl="5">
      <w:start w:val="1"/>
      <w:numFmt w:val="decimal"/>
      <w:lvlText w:val="%1.%2.%3.%4.%5.%6."/>
      <w:lvlJc w:val="left"/>
      <w:pPr>
        <w:ind w:left="3281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07" w:hanging="1800"/>
      </w:pPr>
    </w:lvl>
    <w:lvl w:ilvl="8">
      <w:start w:val="1"/>
      <w:numFmt w:val="decimal"/>
      <w:lvlText w:val="%1.%2.%3.%4.%5.%6.%7.%8.%9."/>
      <w:lvlJc w:val="left"/>
      <w:pPr>
        <w:ind w:left="4850" w:hanging="2160"/>
      </w:pPr>
    </w:lvl>
  </w:abstractNum>
  <w:abstractNum w:abstractNumId="5">
    <w:lvl w:ilvl="0">
      <w:start w:val="1"/>
      <w:numFmt w:val="bullet"/>
      <w:lvlText w:val=""/>
      <w:lvlJc w:val="left"/>
      <w:pPr>
        <w:ind w:left="14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930fc5"/>
    <w:pPr>
      <w:widowControl w:val="false"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11"/>
    <w:qFormat/>
    <w:rsid w:val="00930fc5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  <w:lang w:val="en-US"/>
    </w:rPr>
  </w:style>
  <w:style w:type="character" w:styleId="2" w:customStyle="1">
    <w:name w:val="Заголовок 2 Знак"/>
    <w:basedOn w:val="DefaultParagraphFont"/>
    <w:qFormat/>
    <w:rsid w:val="00930fc5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  <w:lang w:val="en-US"/>
    </w:rPr>
  </w:style>
  <w:style w:type="character" w:styleId="3" w:customStyle="1">
    <w:name w:val="Заголовок 3 Знак"/>
    <w:basedOn w:val="DefaultParagraphFont"/>
    <w:link w:val="31"/>
    <w:semiHidden/>
    <w:qFormat/>
    <w:rsid w:val="009d6a1e"/>
    <w:rPr>
      <w:rFonts w:ascii="Times New Roman" w:hAnsi="Times New Roman" w:eastAsia="Calibri" w:cs="Calibri"/>
      <w:b/>
      <w:bCs/>
      <w:sz w:val="28"/>
      <w:szCs w:val="20"/>
      <w:lang w:eastAsia="ar-SA"/>
    </w:rPr>
  </w:style>
  <w:style w:type="character" w:styleId="Style14" w:customStyle="1">
    <w:name w:val="Интернет-ссылка"/>
    <w:basedOn w:val="DefaultParagraphFont"/>
    <w:uiPriority w:val="99"/>
    <w:unhideWhenUsed/>
    <w:rsid w:val="00930fc5"/>
    <w:rPr>
      <w:color w:val="0563C1" w:themeColor="hyperlink"/>
      <w:u w:val="single"/>
    </w:rPr>
  </w:style>
  <w:style w:type="character" w:styleId="Style15" w:customStyle="1">
    <w:name w:val="Основной текст Знак"/>
    <w:basedOn w:val="DefaultParagraphFont"/>
    <w:qFormat/>
    <w:rsid w:val="00930fc5"/>
    <w:rPr>
      <w:rFonts w:ascii="Arial" w:hAnsi="Arial" w:eastAsia="Arial" w:cs="Arial"/>
      <w:sz w:val="28"/>
      <w:szCs w:val="28"/>
      <w:lang w:val="en-US"/>
    </w:rPr>
  </w:style>
  <w:style w:type="character" w:styleId="Style16" w:customStyle="1">
    <w:name w:val="Верхний колонтитул Знак"/>
    <w:basedOn w:val="DefaultParagraphFont"/>
    <w:qFormat/>
    <w:rsid w:val="006e19f7"/>
    <w:rPr>
      <w:rFonts w:ascii="Arial" w:hAnsi="Arial" w:eastAsia="Arial" w:cs="Arial"/>
      <w:lang w:val="en-US"/>
    </w:rPr>
  </w:style>
  <w:style w:type="character" w:styleId="Style17" w:customStyle="1">
    <w:name w:val="Нижний колонтитул Знак"/>
    <w:basedOn w:val="DefaultParagraphFont"/>
    <w:uiPriority w:val="99"/>
    <w:qFormat/>
    <w:rsid w:val="006e19f7"/>
    <w:rPr>
      <w:rFonts w:ascii="Arial" w:hAnsi="Arial" w:eastAsia="Arial" w:cs="Arial"/>
      <w:lang w:val="en-US"/>
    </w:rPr>
  </w:style>
  <w:style w:type="character" w:styleId="Strong">
    <w:name w:val="Strong"/>
    <w:basedOn w:val="DefaultParagraphFont"/>
    <w:qFormat/>
    <w:rsid w:val="00935ab2"/>
    <w:rPr>
      <w:b/>
      <w:bCs/>
    </w:rPr>
  </w:style>
  <w:style w:type="character" w:styleId="BookTitle">
    <w:name w:val="Book Title"/>
    <w:basedOn w:val="DefaultParagraphFont"/>
    <w:uiPriority w:val="33"/>
    <w:qFormat/>
    <w:rsid w:val="00786701"/>
    <w:rPr>
      <w:b/>
      <w:bCs/>
      <w:smallCaps/>
      <w:spacing w:val="5"/>
    </w:rPr>
  </w:style>
  <w:style w:type="character" w:styleId="4" w:customStyle="1">
    <w:name w:val="Заголовок 4 Знак"/>
    <w:basedOn w:val="DefaultParagraphFont"/>
    <w:link w:val="41"/>
    <w:semiHidden/>
    <w:qFormat/>
    <w:rsid w:val="009d6a1e"/>
    <w:rPr>
      <w:rFonts w:ascii="Calibri" w:hAnsi="Calibri" w:eastAsia="Calibri" w:cs="Calibri"/>
      <w:b/>
      <w:bCs/>
      <w:sz w:val="28"/>
      <w:szCs w:val="28"/>
      <w:lang w:eastAsia="ar-SA"/>
    </w:rPr>
  </w:style>
  <w:style w:type="character" w:styleId="5" w:customStyle="1">
    <w:name w:val="Заголовок 5 Знак"/>
    <w:basedOn w:val="DefaultParagraphFont"/>
    <w:link w:val="51"/>
    <w:semiHidden/>
    <w:qFormat/>
    <w:rsid w:val="009d6a1e"/>
    <w:rPr>
      <w:rFonts w:ascii="Times New Roman" w:hAnsi="Times New Roman" w:eastAsia="Times New Roman" w:cs="Calibri"/>
      <w:b/>
      <w:bCs/>
      <w:iCs/>
      <w:sz w:val="28"/>
      <w:szCs w:val="26"/>
      <w:lang w:eastAsia="ar-SA"/>
    </w:rPr>
  </w:style>
  <w:style w:type="character" w:styleId="6" w:customStyle="1">
    <w:name w:val="Заголовок 6 Знак"/>
    <w:basedOn w:val="DefaultParagraphFont"/>
    <w:link w:val="61"/>
    <w:semiHidden/>
    <w:qFormat/>
    <w:rsid w:val="009d6a1e"/>
    <w:rPr>
      <w:rFonts w:ascii="Calibri" w:hAnsi="Calibri" w:eastAsia="Times New Roman" w:cs="Calibri"/>
      <w:b/>
      <w:bCs/>
      <w:lang w:eastAsia="ar-SA"/>
    </w:rPr>
  </w:style>
  <w:style w:type="character" w:styleId="7" w:customStyle="1">
    <w:name w:val="Заголовок 7 Знак"/>
    <w:basedOn w:val="DefaultParagraphFont"/>
    <w:link w:val="71"/>
    <w:semiHidden/>
    <w:qFormat/>
    <w:rsid w:val="009d6a1e"/>
    <w:rPr>
      <w:rFonts w:ascii="Calibri" w:hAnsi="Calibri" w:eastAsia="Calibri" w:cs="Calibri"/>
      <w:b/>
      <w:bCs/>
      <w:szCs w:val="24"/>
      <w:lang w:eastAsia="ar-SA"/>
    </w:rPr>
  </w:style>
  <w:style w:type="character" w:styleId="8" w:customStyle="1">
    <w:name w:val="Заголовок 8 Знак"/>
    <w:basedOn w:val="DefaultParagraphFont"/>
    <w:link w:val="81"/>
    <w:semiHidden/>
    <w:qFormat/>
    <w:rsid w:val="009d6a1e"/>
    <w:rPr>
      <w:rFonts w:ascii="Times New Roman" w:hAnsi="Times New Roman" w:eastAsia="Times New Roman" w:cs="Calibri"/>
      <w:i/>
      <w:iCs/>
      <w:sz w:val="24"/>
      <w:szCs w:val="24"/>
      <w:lang w:eastAsia="ar-SA"/>
    </w:rPr>
  </w:style>
  <w:style w:type="character" w:styleId="9" w:customStyle="1">
    <w:name w:val="Заголовок 9 Знак"/>
    <w:basedOn w:val="DefaultParagraphFont"/>
    <w:link w:val="91"/>
    <w:semiHidden/>
    <w:qFormat/>
    <w:rsid w:val="009d6a1e"/>
    <w:rPr>
      <w:rFonts w:ascii="Cambria" w:hAnsi="Cambria" w:eastAsia="Times New Roman" w:cs="Calibri"/>
      <w:lang w:eastAsia="ar-SA"/>
    </w:rPr>
  </w:style>
  <w:style w:type="character" w:styleId="FollowedHyperlink">
    <w:name w:val="FollowedHyperlink"/>
    <w:semiHidden/>
    <w:unhideWhenUsed/>
    <w:qFormat/>
    <w:rsid w:val="009d6a1e"/>
    <w:rPr>
      <w:color w:val="800080"/>
      <w:u w:val="single"/>
    </w:rPr>
  </w:style>
  <w:style w:type="character" w:styleId="HTML1" w:customStyle="1">
    <w:name w:val="Стандартный HTML Знак1"/>
    <w:basedOn w:val="DefaultParagraphFont"/>
    <w:link w:val="HTML"/>
    <w:semiHidden/>
    <w:qFormat/>
    <w:locked/>
    <w:rsid w:val="009d6a1e"/>
    <w:rPr>
      <w:rFonts w:ascii="Courier New" w:hAnsi="Courier New" w:eastAsia="SimSun" w:cs="Courier New"/>
      <w:sz w:val="20"/>
      <w:szCs w:val="20"/>
      <w:lang w:eastAsia="ar-SA"/>
    </w:rPr>
  </w:style>
  <w:style w:type="character" w:styleId="HTML" w:customStyle="1">
    <w:name w:val="Стандартный HTML Знак"/>
    <w:basedOn w:val="DefaultParagraphFont"/>
    <w:link w:val="HTML1"/>
    <w:semiHidden/>
    <w:qFormat/>
    <w:rsid w:val="009d6a1e"/>
    <w:rPr>
      <w:rFonts w:ascii="Consolas" w:hAnsi="Consolas" w:eastAsia="Arial" w:cs="Consolas"/>
      <w:sz w:val="20"/>
      <w:szCs w:val="20"/>
      <w:lang w:val="en-US"/>
    </w:rPr>
  </w:style>
  <w:style w:type="character" w:styleId="21" w:customStyle="1">
    <w:name w:val="Текст сноски Знак2"/>
    <w:basedOn w:val="DefaultParagraphFont"/>
    <w:link w:val="10"/>
    <w:semiHidden/>
    <w:qFormat/>
    <w:locked/>
    <w:rsid w:val="009d6a1e"/>
    <w:rPr>
      <w:rFonts w:ascii="Calibri" w:hAnsi="Calibri" w:eastAsia="Times New Roman" w:cs="Calibri"/>
      <w:sz w:val="20"/>
      <w:szCs w:val="20"/>
      <w:lang w:eastAsia="ar-SA"/>
    </w:rPr>
  </w:style>
  <w:style w:type="character" w:styleId="Style18" w:customStyle="1">
    <w:name w:val="Текст сноски Знак"/>
    <w:basedOn w:val="DefaultParagraphFont"/>
    <w:semiHidden/>
    <w:qFormat/>
    <w:rsid w:val="009d6a1e"/>
    <w:rPr>
      <w:rFonts w:ascii="Arial" w:hAnsi="Arial" w:eastAsia="Arial" w:cs="Arial"/>
      <w:sz w:val="20"/>
      <w:szCs w:val="20"/>
      <w:lang w:val="en-US"/>
    </w:rPr>
  </w:style>
  <w:style w:type="character" w:styleId="Style19" w:customStyle="1">
    <w:name w:val="Заголовок Знак"/>
    <w:basedOn w:val="DefaultParagraphFont"/>
    <w:qFormat/>
    <w:rsid w:val="009d6a1e"/>
    <w:rPr>
      <w:rFonts w:ascii="Arial" w:hAnsi="Arial" w:eastAsia="Lucida Sans Unicode" w:cs="Mangal"/>
      <w:sz w:val="28"/>
      <w:szCs w:val="28"/>
      <w:lang w:eastAsia="ar-SA"/>
    </w:rPr>
  </w:style>
  <w:style w:type="character" w:styleId="11" w:customStyle="1">
    <w:name w:val="Основной текст с отступом Знак1"/>
    <w:basedOn w:val="DefaultParagraphFont"/>
    <w:semiHidden/>
    <w:qFormat/>
    <w:locked/>
    <w:rsid w:val="009d6a1e"/>
    <w:rPr>
      <w:rFonts w:ascii="Times New Roman" w:hAnsi="Times New Roman" w:eastAsia="Times New Roman" w:cs="Calibri"/>
      <w:sz w:val="24"/>
      <w:szCs w:val="24"/>
      <w:lang w:eastAsia="ar-SA"/>
    </w:rPr>
  </w:style>
  <w:style w:type="character" w:styleId="Style20" w:customStyle="1">
    <w:name w:val="Основной текст с отступом Знак"/>
    <w:basedOn w:val="DefaultParagraphFont"/>
    <w:semiHidden/>
    <w:qFormat/>
    <w:rsid w:val="009d6a1e"/>
    <w:rPr>
      <w:rFonts w:ascii="Arial" w:hAnsi="Arial" w:eastAsia="Arial" w:cs="Arial"/>
      <w:lang w:val="en-US"/>
    </w:rPr>
  </w:style>
  <w:style w:type="character" w:styleId="22" w:customStyle="1">
    <w:name w:val="Основной текст с отступом Знак2"/>
    <w:basedOn w:val="DefaultParagraphFont"/>
    <w:link w:val="ac"/>
    <w:qFormat/>
    <w:locked/>
    <w:rsid w:val="009d6a1e"/>
    <w:rPr>
      <w:rFonts w:ascii="Times New Roman" w:hAnsi="Times New Roman" w:eastAsia="Times New Roman" w:cs="Calibri"/>
      <w:sz w:val="28"/>
      <w:szCs w:val="20"/>
      <w:lang w:eastAsia="ar-SA"/>
    </w:rPr>
  </w:style>
  <w:style w:type="character" w:styleId="Style21" w:customStyle="1">
    <w:name w:val="Подзаголовок Знак"/>
    <w:basedOn w:val="DefaultParagraphFont"/>
    <w:qFormat/>
    <w:rsid w:val="009d6a1e"/>
    <w:rPr>
      <w:rFonts w:eastAsia="" w:eastAsiaTheme="minorEastAsia"/>
      <w:color w:val="5A5A5A" w:themeColor="text1" w:themeTint="a5"/>
      <w:spacing w:val="15"/>
      <w:lang w:val="en-US"/>
    </w:rPr>
  </w:style>
  <w:style w:type="character" w:styleId="12" w:customStyle="1">
    <w:name w:val="Подзаголовок Знак1"/>
    <w:basedOn w:val="DefaultParagraphFont"/>
    <w:link w:val="ae"/>
    <w:semiHidden/>
    <w:qFormat/>
    <w:locked/>
    <w:rsid w:val="009d6a1e"/>
    <w:rPr>
      <w:rFonts w:ascii="Tahoma" w:hAnsi="Tahoma" w:eastAsia="Calibri" w:cs="Calibri"/>
      <w:sz w:val="16"/>
      <w:szCs w:val="16"/>
      <w:lang w:eastAsia="ar-SA"/>
    </w:rPr>
  </w:style>
  <w:style w:type="character" w:styleId="Style22" w:customStyle="1">
    <w:name w:val="Текст выноски Знак"/>
    <w:basedOn w:val="DefaultParagraphFont"/>
    <w:semiHidden/>
    <w:qFormat/>
    <w:rsid w:val="009d6a1e"/>
    <w:rPr>
      <w:rFonts w:ascii="Segoe UI" w:hAnsi="Segoe UI" w:eastAsia="Arial" w:cs="Segoe UI"/>
      <w:sz w:val="18"/>
      <w:szCs w:val="18"/>
      <w:lang w:val="en-US"/>
    </w:rPr>
  </w:style>
  <w:style w:type="character" w:styleId="WW8Num5z0" w:customStyle="1">
    <w:name w:val="WW8Num5z0"/>
    <w:qFormat/>
    <w:rsid w:val="009d6a1e"/>
    <w:rPr>
      <w:rFonts w:ascii="Symbol" w:hAnsi="Symbol"/>
    </w:rPr>
  </w:style>
  <w:style w:type="character" w:styleId="WW8Num6z0" w:customStyle="1">
    <w:name w:val="WW8Num6z0"/>
    <w:qFormat/>
    <w:rsid w:val="009d6a1e"/>
    <w:rPr>
      <w:rFonts w:ascii="Symbol" w:hAnsi="Symbol"/>
    </w:rPr>
  </w:style>
  <w:style w:type="character" w:styleId="WW8Num7z0" w:customStyle="1">
    <w:name w:val="WW8Num7z0"/>
    <w:qFormat/>
    <w:rsid w:val="009d6a1e"/>
    <w:rPr>
      <w:rFonts w:ascii="Symbol" w:hAnsi="Symbol"/>
    </w:rPr>
  </w:style>
  <w:style w:type="character" w:styleId="WW8Num8z0" w:customStyle="1">
    <w:name w:val="WW8Num8z0"/>
    <w:qFormat/>
    <w:rsid w:val="009d6a1e"/>
    <w:rPr>
      <w:rFonts w:ascii="Symbol" w:hAnsi="Symbol"/>
    </w:rPr>
  </w:style>
  <w:style w:type="character" w:styleId="WW8Num10z0" w:customStyle="1">
    <w:name w:val="WW8Num10z0"/>
    <w:qFormat/>
    <w:rsid w:val="009d6a1e"/>
    <w:rPr>
      <w:rFonts w:ascii="Symbol" w:hAnsi="Symbol"/>
    </w:rPr>
  </w:style>
  <w:style w:type="character" w:styleId="WW8Num12z0" w:customStyle="1">
    <w:name w:val="WW8Num12z0"/>
    <w:qFormat/>
    <w:rsid w:val="009d6a1e"/>
    <w:rPr>
      <w:b w:val="false"/>
      <w:bCs w:val="false"/>
      <w:sz w:val="24"/>
    </w:rPr>
  </w:style>
  <w:style w:type="character" w:styleId="WW8Num13z0" w:customStyle="1">
    <w:name w:val="WW8Num13z0"/>
    <w:qFormat/>
    <w:rsid w:val="009d6a1e"/>
    <w:rPr>
      <w:rFonts w:ascii="Symbol" w:hAnsi="Symbol"/>
    </w:rPr>
  </w:style>
  <w:style w:type="character" w:styleId="WW8Num13z1" w:customStyle="1">
    <w:name w:val="WW8Num13z1"/>
    <w:qFormat/>
    <w:rsid w:val="009d6a1e"/>
    <w:rPr>
      <w:rFonts w:ascii="Times New Roman" w:hAnsi="Times New Roman" w:eastAsia="Times New Roman" w:cs="Times New Roman"/>
    </w:rPr>
  </w:style>
  <w:style w:type="character" w:styleId="WW8Num13z4" w:customStyle="1">
    <w:name w:val="WW8Num13z4"/>
    <w:qFormat/>
    <w:rsid w:val="009d6a1e"/>
    <w:rPr>
      <w:rFonts w:ascii="Courier New" w:hAnsi="Courier New" w:cs="Courier New"/>
    </w:rPr>
  </w:style>
  <w:style w:type="character" w:styleId="WW8Num13z5" w:customStyle="1">
    <w:name w:val="WW8Num13z5"/>
    <w:qFormat/>
    <w:rsid w:val="009d6a1e"/>
    <w:rPr>
      <w:rFonts w:ascii="Wingdings" w:hAnsi="Wingdings"/>
    </w:rPr>
  </w:style>
  <w:style w:type="character" w:styleId="WW8Num15z0" w:customStyle="1">
    <w:name w:val="WW8Num15z0"/>
    <w:qFormat/>
    <w:rsid w:val="009d6a1e"/>
    <w:rPr>
      <w:rFonts w:ascii="Stencil" w:hAnsi="Stencil"/>
    </w:rPr>
  </w:style>
  <w:style w:type="character" w:styleId="WW8Num15z1" w:customStyle="1">
    <w:name w:val="WW8Num15z1"/>
    <w:qFormat/>
    <w:rsid w:val="009d6a1e"/>
    <w:rPr>
      <w:rFonts w:ascii="Courier New" w:hAnsi="Courier New" w:cs="Courier New"/>
    </w:rPr>
  </w:style>
  <w:style w:type="character" w:styleId="WW8Num15z2" w:customStyle="1">
    <w:name w:val="WW8Num15z2"/>
    <w:qFormat/>
    <w:rsid w:val="009d6a1e"/>
    <w:rPr>
      <w:rFonts w:ascii="Wingdings" w:hAnsi="Wingdings"/>
    </w:rPr>
  </w:style>
  <w:style w:type="character" w:styleId="WW8Num15z3" w:customStyle="1">
    <w:name w:val="WW8Num15z3"/>
    <w:qFormat/>
    <w:rsid w:val="009d6a1e"/>
    <w:rPr>
      <w:rFonts w:ascii="Symbol" w:hAnsi="Symbol"/>
    </w:rPr>
  </w:style>
  <w:style w:type="character" w:styleId="WW8Num17z0" w:customStyle="1">
    <w:name w:val="WW8Num17z0"/>
    <w:qFormat/>
    <w:rsid w:val="009d6a1e"/>
    <w:rPr>
      <w:rFonts w:ascii="Wingdings" w:hAnsi="Wingdings"/>
    </w:rPr>
  </w:style>
  <w:style w:type="character" w:styleId="WW8Num17z1" w:customStyle="1">
    <w:name w:val="WW8Num17z1"/>
    <w:qFormat/>
    <w:rsid w:val="009d6a1e"/>
    <w:rPr>
      <w:rFonts w:ascii="Courier New" w:hAnsi="Courier New" w:cs="Courier New"/>
    </w:rPr>
  </w:style>
  <w:style w:type="character" w:styleId="WW8Num17z3" w:customStyle="1">
    <w:name w:val="WW8Num17z3"/>
    <w:qFormat/>
    <w:rsid w:val="009d6a1e"/>
    <w:rPr>
      <w:rFonts w:ascii="Symbol" w:hAnsi="Symbol"/>
    </w:rPr>
  </w:style>
  <w:style w:type="character" w:styleId="WW8Num18z0" w:customStyle="1">
    <w:name w:val="WW8Num18z0"/>
    <w:qFormat/>
    <w:rsid w:val="009d6a1e"/>
    <w:rPr>
      <w:rFonts w:ascii="Times New Roman" w:hAnsi="Times New Roman" w:eastAsia="Times New Roman" w:cs="Times New Roman"/>
    </w:rPr>
  </w:style>
  <w:style w:type="character" w:styleId="WW8Num18z1" w:customStyle="1">
    <w:name w:val="WW8Num18z1"/>
    <w:qFormat/>
    <w:rsid w:val="009d6a1e"/>
    <w:rPr>
      <w:rFonts w:ascii="Courier New" w:hAnsi="Courier New" w:cs="Courier New"/>
    </w:rPr>
  </w:style>
  <w:style w:type="character" w:styleId="WW8Num18z2" w:customStyle="1">
    <w:name w:val="WW8Num18z2"/>
    <w:qFormat/>
    <w:rsid w:val="009d6a1e"/>
    <w:rPr>
      <w:rFonts w:ascii="Wingdings" w:hAnsi="Wingdings"/>
    </w:rPr>
  </w:style>
  <w:style w:type="character" w:styleId="WW8Num18z3" w:customStyle="1">
    <w:name w:val="WW8Num18z3"/>
    <w:qFormat/>
    <w:rsid w:val="009d6a1e"/>
    <w:rPr>
      <w:rFonts w:ascii="Symbol" w:hAnsi="Symbol"/>
    </w:rPr>
  </w:style>
  <w:style w:type="character" w:styleId="WW8Num21z1" w:customStyle="1">
    <w:name w:val="WW8Num21z1"/>
    <w:qFormat/>
    <w:rsid w:val="009d6a1e"/>
    <w:rPr>
      <w:b w:val="false"/>
      <w:bCs w:val="false"/>
    </w:rPr>
  </w:style>
  <w:style w:type="character" w:styleId="WW8Num26z0" w:customStyle="1">
    <w:name w:val="WW8Num26z0"/>
    <w:qFormat/>
    <w:rsid w:val="009d6a1e"/>
    <w:rPr>
      <w:rFonts w:ascii="Times New Roman" w:hAnsi="Times New Roman" w:eastAsia="Times New Roman" w:cs="Times New Roman"/>
    </w:rPr>
  </w:style>
  <w:style w:type="character" w:styleId="WW8Num27z0" w:customStyle="1">
    <w:name w:val="WW8Num27z0"/>
    <w:qFormat/>
    <w:rsid w:val="009d6a1e"/>
    <w:rPr>
      <w:rFonts w:ascii="Times New Roman" w:hAnsi="Times New Roman" w:eastAsia="Times New Roman" w:cs="Times New Roman"/>
    </w:rPr>
  </w:style>
  <w:style w:type="character" w:styleId="WW8Num27z1" w:customStyle="1">
    <w:name w:val="WW8Num27z1"/>
    <w:qFormat/>
    <w:rsid w:val="009d6a1e"/>
    <w:rPr>
      <w:rFonts w:ascii="Courier New" w:hAnsi="Courier New" w:cs="Courier New"/>
    </w:rPr>
  </w:style>
  <w:style w:type="character" w:styleId="WW8Num27z2" w:customStyle="1">
    <w:name w:val="WW8Num27z2"/>
    <w:qFormat/>
    <w:rsid w:val="009d6a1e"/>
    <w:rPr>
      <w:rFonts w:ascii="Wingdings" w:hAnsi="Wingdings"/>
    </w:rPr>
  </w:style>
  <w:style w:type="character" w:styleId="WW8Num27z3" w:customStyle="1">
    <w:name w:val="WW8Num27z3"/>
    <w:qFormat/>
    <w:rsid w:val="009d6a1e"/>
    <w:rPr>
      <w:rFonts w:ascii="Symbol" w:hAnsi="Symbol"/>
    </w:rPr>
  </w:style>
  <w:style w:type="character" w:styleId="WW8Num29z0" w:customStyle="1">
    <w:name w:val="WW8Num29z0"/>
    <w:qFormat/>
    <w:rsid w:val="009d6a1e"/>
    <w:rPr>
      <w:b w:val="false"/>
      <w:bCs w:val="false"/>
    </w:rPr>
  </w:style>
  <w:style w:type="character" w:styleId="WW8Num31z0" w:customStyle="1">
    <w:name w:val="WW8Num31z0"/>
    <w:qFormat/>
    <w:rsid w:val="009d6a1e"/>
    <w:rPr>
      <w:strike w:val="false"/>
      <w:dstrike w:val="false"/>
      <w:sz w:val="24"/>
      <w:u w:val="none"/>
      <w:effect w:val="none"/>
    </w:rPr>
  </w:style>
  <w:style w:type="character" w:styleId="WW8Num34z0" w:customStyle="1">
    <w:name w:val="WW8Num34z0"/>
    <w:qFormat/>
    <w:rsid w:val="009d6a1e"/>
    <w:rPr>
      <w:rFonts w:ascii="Times New Roman" w:hAnsi="Times New Roman" w:eastAsia="Times New Roman" w:cs="Times New Roman"/>
    </w:rPr>
  </w:style>
  <w:style w:type="character" w:styleId="WW8Num34z1" w:customStyle="1">
    <w:name w:val="WW8Num34z1"/>
    <w:qFormat/>
    <w:rsid w:val="009d6a1e"/>
    <w:rPr>
      <w:rFonts w:ascii="Courier New" w:hAnsi="Courier New" w:cs="Courier New"/>
    </w:rPr>
  </w:style>
  <w:style w:type="character" w:styleId="WW8Num34z2" w:customStyle="1">
    <w:name w:val="WW8Num34z2"/>
    <w:qFormat/>
    <w:rsid w:val="009d6a1e"/>
    <w:rPr>
      <w:rFonts w:ascii="Wingdings" w:hAnsi="Wingdings"/>
    </w:rPr>
  </w:style>
  <w:style w:type="character" w:styleId="WW8Num34z3" w:customStyle="1">
    <w:name w:val="WW8Num34z3"/>
    <w:qFormat/>
    <w:rsid w:val="009d6a1e"/>
    <w:rPr>
      <w:rFonts w:ascii="Symbol" w:hAnsi="Symbol"/>
    </w:rPr>
  </w:style>
  <w:style w:type="character" w:styleId="WW8Num38z0" w:customStyle="1">
    <w:name w:val="WW8Num38z0"/>
    <w:qFormat/>
    <w:rsid w:val="009d6a1e"/>
    <w:rPr>
      <w:rFonts w:ascii="Times New Roman" w:hAnsi="Times New Roman" w:eastAsia="Times New Roman" w:cs="Times New Roman"/>
    </w:rPr>
  </w:style>
  <w:style w:type="character" w:styleId="WW8Num38z1" w:customStyle="1">
    <w:name w:val="WW8Num38z1"/>
    <w:qFormat/>
    <w:rsid w:val="009d6a1e"/>
    <w:rPr>
      <w:rFonts w:ascii="Courier New" w:hAnsi="Courier New" w:cs="Courier New"/>
    </w:rPr>
  </w:style>
  <w:style w:type="character" w:styleId="WW8Num38z2" w:customStyle="1">
    <w:name w:val="WW8Num38z2"/>
    <w:qFormat/>
    <w:rsid w:val="009d6a1e"/>
    <w:rPr>
      <w:rFonts w:ascii="Wingdings" w:hAnsi="Wingdings" w:cs="Wingdings"/>
    </w:rPr>
  </w:style>
  <w:style w:type="character" w:styleId="WW8Num38z3" w:customStyle="1">
    <w:name w:val="WW8Num38z3"/>
    <w:qFormat/>
    <w:rsid w:val="009d6a1e"/>
    <w:rPr>
      <w:rFonts w:ascii="Symbol" w:hAnsi="Symbol" w:cs="Symbol"/>
    </w:rPr>
  </w:style>
  <w:style w:type="character" w:styleId="WW8Num40z0" w:customStyle="1">
    <w:name w:val="WW8Num40z0"/>
    <w:qFormat/>
    <w:rsid w:val="009d6a1e"/>
    <w:rPr>
      <w:rFonts w:ascii="Times New Roman" w:hAnsi="Times New Roman" w:cs="Times New Roman"/>
      <w:sz w:val="32"/>
      <w:szCs w:val="32"/>
    </w:rPr>
  </w:style>
  <w:style w:type="character" w:styleId="WW8Num40z1" w:customStyle="1">
    <w:name w:val="WW8Num40z1"/>
    <w:qFormat/>
    <w:rsid w:val="009d6a1e"/>
    <w:rPr>
      <w:b w:val="false"/>
      <w:bCs w:val="false"/>
      <w:i w:val="false"/>
      <w:iCs w:val="false"/>
      <w:sz w:val="28"/>
      <w:szCs w:val="28"/>
      <w:u w:val="single"/>
    </w:rPr>
  </w:style>
  <w:style w:type="character" w:styleId="WW8Num41z0" w:customStyle="1">
    <w:name w:val="WW8Num41z0"/>
    <w:qFormat/>
    <w:rsid w:val="009d6a1e"/>
    <w:rPr>
      <w:sz w:val="32"/>
      <w:szCs w:val="32"/>
    </w:rPr>
  </w:style>
  <w:style w:type="character" w:styleId="WW8Num41z1" w:customStyle="1">
    <w:name w:val="WW8Num41z1"/>
    <w:qFormat/>
    <w:rsid w:val="009d6a1e"/>
    <w:rPr>
      <w:b w:val="false"/>
      <w:bCs w:val="false"/>
      <w:i w:val="false"/>
      <w:iCs w:val="false"/>
      <w:sz w:val="28"/>
      <w:szCs w:val="28"/>
      <w:u w:val="single"/>
    </w:rPr>
  </w:style>
  <w:style w:type="character" w:styleId="WW8Num43z0" w:customStyle="1">
    <w:name w:val="WW8Num43z0"/>
    <w:qFormat/>
    <w:rsid w:val="009d6a1e"/>
    <w:rPr>
      <w:sz w:val="24"/>
    </w:rPr>
  </w:style>
  <w:style w:type="character" w:styleId="WW8Num45z0" w:customStyle="1">
    <w:name w:val="WW8Num45z0"/>
    <w:qFormat/>
    <w:rsid w:val="009d6a1e"/>
    <w:rPr>
      <w:sz w:val="24"/>
    </w:rPr>
  </w:style>
  <w:style w:type="character" w:styleId="WW8Num47z0" w:customStyle="1">
    <w:name w:val="WW8Num47z0"/>
    <w:qFormat/>
    <w:rsid w:val="009d6a1e"/>
    <w:rPr>
      <w:rFonts w:ascii="Times New Roman" w:hAnsi="Times New Roman" w:eastAsia="Times New Roman" w:cs="Times New Roman"/>
    </w:rPr>
  </w:style>
  <w:style w:type="character" w:styleId="WW8Num47z2" w:customStyle="1">
    <w:name w:val="WW8Num47z2"/>
    <w:qFormat/>
    <w:rsid w:val="009d6a1e"/>
    <w:rPr>
      <w:rFonts w:ascii="Wingdings" w:hAnsi="Wingdings"/>
    </w:rPr>
  </w:style>
  <w:style w:type="character" w:styleId="WW8Num47z3" w:customStyle="1">
    <w:name w:val="WW8Num47z3"/>
    <w:qFormat/>
    <w:rsid w:val="009d6a1e"/>
    <w:rPr>
      <w:rFonts w:ascii="Symbol" w:hAnsi="Symbol"/>
    </w:rPr>
  </w:style>
  <w:style w:type="character" w:styleId="WW8Num47z4" w:customStyle="1">
    <w:name w:val="WW8Num47z4"/>
    <w:qFormat/>
    <w:rsid w:val="009d6a1e"/>
    <w:rPr>
      <w:rFonts w:ascii="Courier New" w:hAnsi="Courier New" w:cs="Courier New"/>
    </w:rPr>
  </w:style>
  <w:style w:type="character" w:styleId="13" w:customStyle="1">
    <w:name w:val="Текст выноски Знак1"/>
    <w:link w:val="af0"/>
    <w:qFormat/>
    <w:rsid w:val="009d6a1e"/>
    <w:rPr/>
  </w:style>
  <w:style w:type="character" w:styleId="31" w:customStyle="1">
    <w:name w:val="Нижний колонтитул Знак3"/>
    <w:basedOn w:val="13"/>
    <w:qFormat/>
    <w:rsid w:val="009d6a1e"/>
    <w:rPr/>
  </w:style>
  <w:style w:type="character" w:styleId="14" w:customStyle="1">
    <w:name w:val="Нижний колонтитул Знак1"/>
    <w:qFormat/>
    <w:rsid w:val="009d6a1e"/>
    <w:rPr>
      <w:sz w:val="24"/>
      <w:szCs w:val="24"/>
      <w:lang w:val="uk-UA" w:eastAsia="ar-SA" w:bidi="ar-SA"/>
    </w:rPr>
  </w:style>
  <w:style w:type="character" w:styleId="32" w:customStyle="1">
    <w:name w:val="Основной текст 3 Знак"/>
    <w:qFormat/>
    <w:rsid w:val="009d6a1e"/>
    <w:rPr>
      <w:rFonts w:ascii="Times New Roman" w:hAnsi="Times New Roman" w:eastAsia="Times New Roman" w:cs="Times New Roman"/>
      <w:sz w:val="16"/>
      <w:szCs w:val="16"/>
    </w:rPr>
  </w:style>
  <w:style w:type="character" w:styleId="Style23" w:customStyle="1">
    <w:name w:val="Название Знак"/>
    <w:qFormat/>
    <w:rsid w:val="009d6a1e"/>
    <w:rPr>
      <w:rFonts w:ascii="Times New Roman" w:hAnsi="Times New Roman" w:eastAsia="Times New Roman" w:cs="Times New Roman"/>
      <w:b/>
      <w:bCs/>
      <w:sz w:val="24"/>
      <w:szCs w:val="24"/>
      <w:u w:val="single"/>
    </w:rPr>
  </w:style>
  <w:style w:type="character" w:styleId="33" w:customStyle="1">
    <w:name w:val="Основной текст с отступом 3 Знак"/>
    <w:qFormat/>
    <w:rsid w:val="009d6a1e"/>
    <w:rPr>
      <w:sz w:val="16"/>
      <w:szCs w:val="16"/>
    </w:rPr>
  </w:style>
  <w:style w:type="character" w:styleId="211" w:customStyle="1">
    <w:name w:val="Основной текст с отступом 2 Знак1"/>
    <w:qFormat/>
    <w:rsid w:val="009d6a1e"/>
    <w:rPr>
      <w:rFonts w:ascii="Times New Roman" w:hAnsi="Times New Roman" w:eastAsia="Times New Roman" w:cs="Times New Roman"/>
      <w:sz w:val="28"/>
      <w:szCs w:val="28"/>
    </w:rPr>
  </w:style>
  <w:style w:type="character" w:styleId="FontStyle17" w:customStyle="1">
    <w:name w:val="Font Style17"/>
    <w:qFormat/>
    <w:rsid w:val="009d6a1e"/>
    <w:rPr>
      <w:rFonts w:ascii="Times New Roman" w:hAnsi="Times New Roman" w:cs="Times New Roman"/>
      <w:sz w:val="24"/>
      <w:szCs w:val="24"/>
    </w:rPr>
  </w:style>
  <w:style w:type="character" w:styleId="23" w:customStyle="1">
    <w:name w:val="Основной текст с отступом 2 Знак"/>
    <w:qFormat/>
    <w:rsid w:val="009d6a1e"/>
    <w:rPr>
      <w:sz w:val="28"/>
      <w:szCs w:val="28"/>
      <w:lang w:eastAsia="ar-SA" w:bidi="ar-SA"/>
    </w:rPr>
  </w:style>
  <w:style w:type="character" w:styleId="212" w:customStyle="1">
    <w:name w:val="Основной текст 2 Знак1"/>
    <w:qFormat/>
    <w:rsid w:val="009d6a1e"/>
    <w:rPr>
      <w:sz w:val="22"/>
      <w:szCs w:val="22"/>
    </w:rPr>
  </w:style>
  <w:style w:type="character" w:styleId="Style24" w:customStyle="1">
    <w:name w:val="Текст Знак"/>
    <w:qFormat/>
    <w:rsid w:val="009d6a1e"/>
    <w:rPr>
      <w:rFonts w:ascii="Consolas" w:hAnsi="Consolas" w:cs="Consolas"/>
      <w:sz w:val="21"/>
      <w:szCs w:val="21"/>
      <w:lang w:val="ru-RU" w:eastAsia="ar-SA" w:bidi="ar-SA"/>
    </w:rPr>
  </w:style>
  <w:style w:type="character" w:styleId="24" w:customStyle="1">
    <w:name w:val="Знак Знак24"/>
    <w:qFormat/>
    <w:rsid w:val="009d6a1e"/>
    <w:rPr>
      <w:rFonts w:ascii="Cambria" w:hAnsi="Cambria"/>
      <w:b/>
      <w:bCs/>
      <w:color w:val="365F91"/>
      <w:sz w:val="28"/>
      <w:szCs w:val="28"/>
      <w:lang w:val="ru-RU" w:eastAsia="ar-SA" w:bidi="ar-SA"/>
    </w:rPr>
  </w:style>
  <w:style w:type="character" w:styleId="231" w:customStyle="1">
    <w:name w:val="Знак Знак23"/>
    <w:qFormat/>
    <w:rsid w:val="009d6a1e"/>
    <w:rPr>
      <w:rFonts w:ascii="Times New Roman" w:hAnsi="Times New Roman" w:eastAsia="Times New Roman" w:cs="Times New Roman"/>
      <w:sz w:val="32"/>
      <w:szCs w:val="28"/>
    </w:rPr>
  </w:style>
  <w:style w:type="character" w:styleId="20" w:customStyle="1">
    <w:name w:val="Знак Знак20"/>
    <w:link w:val="21"/>
    <w:qFormat/>
    <w:rsid w:val="009d6a1e"/>
    <w:rPr>
      <w:rFonts w:ascii="Cambria" w:hAnsi="Cambria" w:eastAsia="Times New Roman" w:cs="Times New Roman"/>
      <w:color w:val="243F60"/>
      <w:sz w:val="22"/>
      <w:szCs w:val="22"/>
    </w:rPr>
  </w:style>
  <w:style w:type="character" w:styleId="18" w:customStyle="1">
    <w:name w:val="Знак Знак18"/>
    <w:qFormat/>
    <w:rsid w:val="009d6a1e"/>
    <w:rPr>
      <w:b/>
      <w:bCs w:val="false"/>
      <w:sz w:val="22"/>
      <w:szCs w:val="22"/>
      <w:lang w:val="ru-RU" w:eastAsia="ar-SA" w:bidi="ar-SA"/>
    </w:rPr>
  </w:style>
  <w:style w:type="character" w:styleId="Appleconvertedspace" w:customStyle="1">
    <w:name w:val="apple-converted-space"/>
    <w:basedOn w:val="13"/>
    <w:qFormat/>
    <w:rsid w:val="009d6a1e"/>
    <w:rPr/>
  </w:style>
  <w:style w:type="character" w:styleId="19" w:customStyle="1">
    <w:name w:val="Знак Знак19"/>
    <w:qFormat/>
    <w:rsid w:val="009d6a1e"/>
    <w:rPr>
      <w:rFonts w:ascii="Times New Roman" w:hAnsi="Times New Roman" w:eastAsia="Times New Roman" w:cs="Times New Roman"/>
      <w:sz w:val="32"/>
      <w:szCs w:val="28"/>
    </w:rPr>
  </w:style>
  <w:style w:type="character" w:styleId="16" w:customStyle="1">
    <w:name w:val="Знак Знак16"/>
    <w:qFormat/>
    <w:rsid w:val="009d6a1e"/>
    <w:rPr>
      <w:rFonts w:ascii="Cambria" w:hAnsi="Cambria" w:eastAsia="Times New Roman"/>
      <w:color w:val="243F60"/>
      <w:sz w:val="28"/>
      <w:szCs w:val="24"/>
    </w:rPr>
  </w:style>
  <w:style w:type="character" w:styleId="25" w:customStyle="1">
    <w:name w:val="Основной текст 2 Знак"/>
    <w:qFormat/>
    <w:rsid w:val="009d6a1e"/>
    <w:rPr>
      <w:rFonts w:ascii="Times New Roman" w:hAnsi="Times New Roman" w:eastAsia="Calibri" w:cs="Times New Roman"/>
      <w:sz w:val="28"/>
    </w:rPr>
  </w:style>
  <w:style w:type="character" w:styleId="15" w:customStyle="1">
    <w:name w:val="Основной текст Знак1"/>
    <w:qFormat/>
    <w:rsid w:val="009d6a1e"/>
    <w:rPr>
      <w:rFonts w:ascii="Calibri" w:hAnsi="Calibri" w:eastAsia="Calibri"/>
      <w:sz w:val="22"/>
      <w:szCs w:val="22"/>
    </w:rPr>
  </w:style>
  <w:style w:type="character" w:styleId="FontStyle297" w:customStyle="1">
    <w:name w:val="Font Style297"/>
    <w:qFormat/>
    <w:rsid w:val="009d6a1e"/>
    <w:rPr>
      <w:rFonts w:ascii="Times New Roman" w:hAnsi="Times New Roman" w:cs="Times New Roman"/>
      <w:spacing w:val="10"/>
      <w:sz w:val="20"/>
      <w:szCs w:val="20"/>
    </w:rPr>
  </w:style>
  <w:style w:type="character" w:styleId="41" w:customStyle="1">
    <w:name w:val="Знак Знак4"/>
    <w:qFormat/>
    <w:rsid w:val="009d6a1e"/>
    <w:rPr>
      <w:color w:val="339966"/>
      <w:sz w:val="32"/>
      <w:szCs w:val="32"/>
      <w:u w:val="single"/>
      <w:lang w:val="ru-RU" w:eastAsia="ar-SA" w:bidi="ar-SA"/>
    </w:rPr>
  </w:style>
  <w:style w:type="character" w:styleId="34" w:customStyle="1">
    <w:name w:val="Знак Знак3"/>
    <w:qFormat/>
    <w:rsid w:val="009d6a1e"/>
    <w:rPr>
      <w:sz w:val="28"/>
      <w:szCs w:val="24"/>
      <w:lang w:val="ru-RU" w:eastAsia="ar-SA" w:bidi="ar-SA"/>
    </w:rPr>
  </w:style>
  <w:style w:type="character" w:styleId="26" w:customStyle="1">
    <w:name w:val="Нижний колонтитул Знак2"/>
    <w:basedOn w:val="13"/>
    <w:qFormat/>
    <w:rsid w:val="009d6a1e"/>
    <w:rPr/>
  </w:style>
  <w:style w:type="character" w:styleId="Style25" w:customStyle="1">
    <w:name w:val="Схема документа Знак"/>
    <w:qFormat/>
    <w:rsid w:val="009d6a1e"/>
    <w:rPr>
      <w:rFonts w:ascii="Tahoma" w:hAnsi="Tahoma" w:eastAsia="Times New Roman" w:cs="Tahoma"/>
      <w:shd w:fill="000080" w:val="clear"/>
    </w:rPr>
  </w:style>
  <w:style w:type="character" w:styleId="17" w:customStyle="1">
    <w:name w:val="Текст сноски Знак1"/>
    <w:qFormat/>
    <w:rsid w:val="009d6a1e"/>
    <w:rPr>
      <w:rFonts w:ascii="Times New Roman" w:hAnsi="Times New Roman" w:cs="Times New Roman"/>
    </w:rPr>
  </w:style>
  <w:style w:type="character" w:styleId="Style26" w:customStyle="1">
    <w:name w:val="Ссылка указателя"/>
    <w:qFormat/>
    <w:rsid w:val="002a2f49"/>
    <w:rPr/>
  </w:style>
  <w:style w:type="character" w:styleId="G" w:customStyle="1">
    <w:name w:val="G_Маркированый список Знак"/>
    <w:link w:val="G"/>
    <w:qFormat/>
    <w:rsid w:val="00871553"/>
    <w:rPr>
      <w:rFonts w:ascii="Calibri" w:hAnsi="Calibri" w:eastAsia="Times New Roman" w:cs="Times New Roman"/>
      <w:sz w:val="24"/>
      <w:szCs w:val="24"/>
      <w:lang w:bidi="en-US"/>
    </w:rPr>
  </w:style>
  <w:style w:type="character" w:styleId="G1" w:customStyle="1">
    <w:name w:val="G_Обычный текст Знак"/>
    <w:link w:val="G1"/>
    <w:qFormat/>
    <w:rsid w:val="00871553"/>
    <w:rPr>
      <w:rFonts w:ascii="Calibri" w:hAnsi="Calibri" w:eastAsia="Times New Roman" w:cs="Times New Roman"/>
      <w:sz w:val="24"/>
      <w:szCs w:val="24"/>
      <w:lang w:eastAsia="ar-SA" w:bidi="en-US"/>
    </w:rPr>
  </w:style>
  <w:style w:type="paragraph" w:styleId="Style27">
    <w:name w:val="Заголовок"/>
    <w:basedOn w:val="Normal"/>
    <w:next w:val="Style2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8">
    <w:name w:val="Body Text"/>
    <w:basedOn w:val="Normal"/>
    <w:qFormat/>
    <w:rsid w:val="00930fc5"/>
    <w:pPr/>
    <w:rPr>
      <w:sz w:val="28"/>
      <w:szCs w:val="28"/>
    </w:rPr>
  </w:style>
  <w:style w:type="paragraph" w:styleId="Style29">
    <w:name w:val="List"/>
    <w:basedOn w:val="Style28"/>
    <w:rsid w:val="002a2f49"/>
    <w:pPr/>
    <w:rPr>
      <w:rFonts w:cs="Mangal"/>
    </w:rPr>
  </w:style>
  <w:style w:type="paragraph" w:styleId="Style3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31">
    <w:name w:val="Указатель"/>
    <w:basedOn w:val="Normal"/>
    <w:qFormat/>
    <w:pPr>
      <w:suppressLineNumbers/>
    </w:pPr>
    <w:rPr>
      <w:rFonts w:cs="Mangal"/>
    </w:rPr>
  </w:style>
  <w:style w:type="paragraph" w:styleId="111" w:customStyle="1">
    <w:name w:val="Заголовок 11"/>
    <w:basedOn w:val="Normal"/>
    <w:next w:val="Normal"/>
    <w:link w:val="1"/>
    <w:qFormat/>
    <w:rsid w:val="00930fc5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213" w:customStyle="1">
    <w:name w:val="Заголовок 21"/>
    <w:basedOn w:val="Normal"/>
    <w:next w:val="Normal"/>
    <w:link w:val="20"/>
    <w:unhideWhenUsed/>
    <w:qFormat/>
    <w:rsid w:val="00930fc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311" w:customStyle="1">
    <w:name w:val="Заголовок 31"/>
    <w:basedOn w:val="Normal"/>
    <w:next w:val="Normal"/>
    <w:link w:val="3"/>
    <w:semiHidden/>
    <w:unhideWhenUsed/>
    <w:qFormat/>
    <w:rsid w:val="009d6a1e"/>
    <w:pPr>
      <w:keepNext w:val="true"/>
      <w:widowControl/>
      <w:suppressAutoHyphens w:val="true"/>
      <w:jc w:val="center"/>
      <w:outlineLvl w:val="2"/>
    </w:pPr>
    <w:rPr>
      <w:rFonts w:ascii="Times New Roman" w:hAnsi="Times New Roman" w:eastAsia="Calibri" w:cs="Calibri"/>
      <w:b/>
      <w:bCs/>
      <w:sz w:val="28"/>
      <w:szCs w:val="20"/>
      <w:lang w:val="ru-RU" w:eastAsia="ar-SA"/>
    </w:rPr>
  </w:style>
  <w:style w:type="paragraph" w:styleId="411" w:customStyle="1">
    <w:name w:val="Заголовок 41"/>
    <w:basedOn w:val="Normal"/>
    <w:next w:val="Normal"/>
    <w:link w:val="4"/>
    <w:semiHidden/>
    <w:unhideWhenUsed/>
    <w:qFormat/>
    <w:rsid w:val="009d6a1e"/>
    <w:pPr>
      <w:keepNext w:val="true"/>
      <w:widowControl/>
      <w:suppressAutoHyphens w:val="true"/>
      <w:spacing w:lineRule="auto" w:line="360" w:before="240" w:after="60"/>
      <w:ind w:firstLine="709"/>
      <w:jc w:val="both"/>
      <w:outlineLvl w:val="3"/>
    </w:pPr>
    <w:rPr>
      <w:rFonts w:ascii="Calibri" w:hAnsi="Calibri" w:eastAsia="Calibri" w:cs="Calibri"/>
      <w:b/>
      <w:bCs/>
      <w:sz w:val="28"/>
      <w:szCs w:val="28"/>
      <w:lang w:val="ru-RU" w:eastAsia="ar-SA"/>
    </w:rPr>
  </w:style>
  <w:style w:type="paragraph" w:styleId="51" w:customStyle="1">
    <w:name w:val="Заголовок 51"/>
    <w:basedOn w:val="Normal"/>
    <w:next w:val="Normal"/>
    <w:link w:val="5"/>
    <w:semiHidden/>
    <w:unhideWhenUsed/>
    <w:qFormat/>
    <w:rsid w:val="009d6a1e"/>
    <w:pPr>
      <w:widowControl/>
      <w:suppressAutoHyphens w:val="true"/>
      <w:spacing w:lineRule="auto" w:line="276" w:before="240" w:after="60"/>
      <w:outlineLvl w:val="4"/>
    </w:pPr>
    <w:rPr>
      <w:rFonts w:ascii="Times New Roman" w:hAnsi="Times New Roman" w:eastAsia="Times New Roman" w:cs="Calibri"/>
      <w:b/>
      <w:bCs/>
      <w:iCs/>
      <w:sz w:val="28"/>
      <w:szCs w:val="26"/>
      <w:lang w:eastAsia="ar-SA"/>
    </w:rPr>
  </w:style>
  <w:style w:type="paragraph" w:styleId="61" w:customStyle="1">
    <w:name w:val="Заголовок 61"/>
    <w:basedOn w:val="Normal"/>
    <w:next w:val="Normal"/>
    <w:link w:val="6"/>
    <w:semiHidden/>
    <w:unhideWhenUsed/>
    <w:qFormat/>
    <w:rsid w:val="009d6a1e"/>
    <w:pPr>
      <w:widowControl/>
      <w:suppressAutoHyphens w:val="true"/>
      <w:spacing w:lineRule="auto" w:line="276" w:before="240" w:after="60"/>
      <w:outlineLvl w:val="5"/>
    </w:pPr>
    <w:rPr>
      <w:rFonts w:ascii="Calibri" w:hAnsi="Calibri" w:eastAsia="Times New Roman" w:cs="Calibri"/>
      <w:b/>
      <w:bCs/>
      <w:lang w:eastAsia="ar-SA"/>
    </w:rPr>
  </w:style>
  <w:style w:type="paragraph" w:styleId="71" w:customStyle="1">
    <w:name w:val="Заголовок 71"/>
    <w:basedOn w:val="Normal"/>
    <w:next w:val="Normal"/>
    <w:link w:val="7"/>
    <w:semiHidden/>
    <w:unhideWhenUsed/>
    <w:qFormat/>
    <w:rsid w:val="009d6a1e"/>
    <w:pPr>
      <w:keepNext w:val="true"/>
      <w:widowControl/>
      <w:suppressAutoHyphens w:val="true"/>
      <w:spacing w:lineRule="auto" w:line="360"/>
      <w:jc w:val="center"/>
      <w:outlineLvl w:val="6"/>
    </w:pPr>
    <w:rPr>
      <w:rFonts w:ascii="Calibri" w:hAnsi="Calibri" w:eastAsia="Calibri" w:cs="Calibri"/>
      <w:b/>
      <w:bCs/>
      <w:szCs w:val="24"/>
      <w:lang w:val="ru-RU" w:eastAsia="ar-SA"/>
    </w:rPr>
  </w:style>
  <w:style w:type="paragraph" w:styleId="81" w:customStyle="1">
    <w:name w:val="Заголовок 81"/>
    <w:basedOn w:val="Normal"/>
    <w:next w:val="Normal"/>
    <w:link w:val="8"/>
    <w:semiHidden/>
    <w:unhideWhenUsed/>
    <w:qFormat/>
    <w:rsid w:val="009d6a1e"/>
    <w:pPr>
      <w:widowControl/>
      <w:suppressAutoHyphens w:val="true"/>
      <w:spacing w:before="240" w:after="60"/>
      <w:outlineLvl w:val="7"/>
    </w:pPr>
    <w:rPr>
      <w:rFonts w:ascii="Times New Roman" w:hAnsi="Times New Roman" w:eastAsia="Times New Roman" w:cs="Calibri"/>
      <w:i/>
      <w:iCs/>
      <w:sz w:val="24"/>
      <w:szCs w:val="24"/>
      <w:lang w:val="ru-RU" w:eastAsia="ar-SA"/>
    </w:rPr>
  </w:style>
  <w:style w:type="paragraph" w:styleId="91" w:customStyle="1">
    <w:name w:val="Заголовок 91"/>
    <w:basedOn w:val="Normal"/>
    <w:next w:val="Normal"/>
    <w:link w:val="9"/>
    <w:semiHidden/>
    <w:unhideWhenUsed/>
    <w:qFormat/>
    <w:rsid w:val="009d6a1e"/>
    <w:pPr>
      <w:widowControl/>
      <w:suppressAutoHyphens w:val="true"/>
      <w:spacing w:lineRule="auto" w:line="360" w:before="240" w:after="60"/>
      <w:ind w:firstLine="709"/>
      <w:jc w:val="both"/>
      <w:outlineLvl w:val="8"/>
    </w:pPr>
    <w:rPr>
      <w:rFonts w:ascii="Cambria" w:hAnsi="Cambria" w:eastAsia="Times New Roman" w:cs="Calibri"/>
      <w:lang w:eastAsia="ar-SA"/>
    </w:rPr>
  </w:style>
  <w:style w:type="paragraph" w:styleId="110" w:customStyle="1">
    <w:name w:val="Заголовок1"/>
    <w:next w:val="Style28"/>
    <w:qFormat/>
    <w:rsid w:val="009d6a1e"/>
    <w:pPr>
      <w:widowControl/>
      <w:suppressAutoHyphens w:val="true"/>
      <w:bidi w:val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2"/>
      <w:lang w:eastAsia="ar-SA" w:val="ru-RU" w:bidi="ar-SA"/>
    </w:rPr>
  </w:style>
  <w:style w:type="paragraph" w:styleId="112" w:customStyle="1">
    <w:name w:val="Название объекта1"/>
    <w:basedOn w:val="Normal"/>
    <w:next w:val="Normal"/>
    <w:qFormat/>
    <w:rsid w:val="009d6a1e"/>
    <w:pPr>
      <w:suppressAutoHyphens w:val="true"/>
      <w:spacing w:lineRule="auto" w:line="360" w:before="120" w:after="120"/>
      <w:ind w:firstLine="709"/>
      <w:jc w:val="both"/>
    </w:pPr>
    <w:rPr>
      <w:rFonts w:ascii="Times New Roman" w:hAnsi="Times New Roman" w:eastAsia="Times New Roman" w:cs="Calibri"/>
      <w:b/>
      <w:bCs/>
      <w:sz w:val="20"/>
      <w:szCs w:val="20"/>
      <w:lang w:val="ru-RU" w:eastAsia="ar-SA"/>
    </w:rPr>
  </w:style>
  <w:style w:type="paragraph" w:styleId="Indexheading">
    <w:name w:val="index heading"/>
    <w:basedOn w:val="Normal"/>
    <w:qFormat/>
    <w:rsid w:val="002a2f49"/>
    <w:pPr>
      <w:suppressLineNumbers/>
    </w:pPr>
    <w:rPr>
      <w:rFonts w:cs="Mangal"/>
    </w:rPr>
  </w:style>
  <w:style w:type="paragraph" w:styleId="113" w:customStyle="1">
    <w:name w:val="Оглавление 11"/>
    <w:basedOn w:val="Normal"/>
    <w:next w:val="Normal"/>
    <w:autoRedefine/>
    <w:uiPriority w:val="39"/>
    <w:unhideWhenUsed/>
    <w:qFormat/>
    <w:rsid w:val="00d67085"/>
    <w:pPr>
      <w:tabs>
        <w:tab w:val="clear" w:pos="708"/>
        <w:tab w:val="left" w:pos="440" w:leader="none"/>
        <w:tab w:val="right" w:pos="9322" w:leader="dot"/>
      </w:tabs>
      <w:spacing w:before="0" w:after="100"/>
    </w:pPr>
    <w:rPr>
      <w:rFonts w:ascii="Times New Roman" w:hAnsi="Times New Roman" w:cs="Times New Roman"/>
      <w:b/>
      <w:lang w:val="ru-RU"/>
    </w:rPr>
  </w:style>
  <w:style w:type="paragraph" w:styleId="214" w:customStyle="1">
    <w:name w:val="Оглавление 21"/>
    <w:basedOn w:val="Normal"/>
    <w:next w:val="Normal"/>
    <w:autoRedefine/>
    <w:uiPriority w:val="39"/>
    <w:unhideWhenUsed/>
    <w:qFormat/>
    <w:rsid w:val="00930fc5"/>
    <w:pPr>
      <w:spacing w:before="0" w:after="100"/>
      <w:ind w:left="220" w:hanging="0"/>
    </w:pPr>
    <w:rPr/>
  </w:style>
  <w:style w:type="paragraph" w:styleId="TOCHeading">
    <w:name w:val="TOC Heading"/>
    <w:basedOn w:val="111"/>
    <w:next w:val="Normal"/>
    <w:uiPriority w:val="39"/>
    <w:unhideWhenUsed/>
    <w:qFormat/>
    <w:rsid w:val="00930fc5"/>
    <w:pPr/>
    <w:rPr/>
  </w:style>
  <w:style w:type="paragraph" w:styleId="ListParagraph">
    <w:name w:val="List Paragraph"/>
    <w:basedOn w:val="Normal"/>
    <w:uiPriority w:val="34"/>
    <w:qFormat/>
    <w:rsid w:val="00930fc5"/>
    <w:pPr>
      <w:ind w:left="272" w:hanging="163"/>
    </w:pPr>
    <w:rPr/>
  </w:style>
  <w:style w:type="paragraph" w:styleId="TableParagraph" w:customStyle="1">
    <w:name w:val="Table Paragraph"/>
    <w:basedOn w:val="Normal"/>
    <w:uiPriority w:val="1"/>
    <w:qFormat/>
    <w:rsid w:val="00930fc5"/>
    <w:pPr>
      <w:jc w:val="center"/>
    </w:pPr>
    <w:rPr>
      <w:rFonts w:ascii="Times New Roman" w:hAnsi="Times New Roman" w:eastAsia="Times New Roman" w:cs="Times New Roman"/>
    </w:rPr>
  </w:style>
  <w:style w:type="paragraph" w:styleId="Style32" w:customStyle="1">
    <w:name w:val="Верхний и нижний колонтитулы"/>
    <w:basedOn w:val="Normal"/>
    <w:qFormat/>
    <w:rsid w:val="002a2f49"/>
    <w:pPr/>
    <w:rPr/>
  </w:style>
  <w:style w:type="paragraph" w:styleId="114" w:customStyle="1">
    <w:name w:val="Верхний колонтитул1"/>
    <w:basedOn w:val="Normal"/>
    <w:unhideWhenUsed/>
    <w:qFormat/>
    <w:rsid w:val="006e19f7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15" w:customStyle="1">
    <w:name w:val="Нижний колонтитул1"/>
    <w:basedOn w:val="Normal"/>
    <w:uiPriority w:val="99"/>
    <w:unhideWhenUsed/>
    <w:qFormat/>
    <w:rsid w:val="006e19f7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PlusCell" w:customStyle="1">
    <w:name w:val="ConsPlusCell"/>
    <w:qFormat/>
    <w:rsid w:val="005d51a9"/>
    <w:pPr>
      <w:widowControl w:val="false"/>
      <w:bidi w:val="0"/>
      <w:jc w:val="left"/>
    </w:pPr>
    <w:rPr>
      <w:rFonts w:ascii="Arial" w:hAnsi="Arial" w:cs="Arial" w:eastAsia="Calibri" w:eastAsiaTheme="minorHAnsi"/>
      <w:color w:val="auto"/>
      <w:kern w:val="0"/>
      <w:sz w:val="22"/>
      <w:szCs w:val="20"/>
      <w:lang w:eastAsia="ru-RU" w:val="ru-RU" w:bidi="ar-SA"/>
    </w:rPr>
  </w:style>
  <w:style w:type="paragraph" w:styleId="35" w:customStyle="1">
    <w:name w:val="Абзац списка3"/>
    <w:basedOn w:val="Normal"/>
    <w:qFormat/>
    <w:rsid w:val="00ad1ac4"/>
    <w:pPr>
      <w:widowControl/>
      <w:spacing w:before="0" w:after="0"/>
      <w:ind w:left="720" w:hanging="0"/>
      <w:contextualSpacing/>
    </w:pPr>
    <w:rPr>
      <w:rFonts w:ascii="Calibri" w:hAnsi="Calibri" w:eastAsia="Calibri" w:cs="" w:asciiTheme="minorHAnsi" w:cstheme="minorBidi" w:eastAsiaTheme="minorHAnsi" w:hAnsiTheme="minorHAnsi"/>
      <w:sz w:val="24"/>
      <w:szCs w:val="24"/>
      <w:lang w:val="ru-RU"/>
    </w:rPr>
  </w:style>
  <w:style w:type="paragraph" w:styleId="NormalWeb">
    <w:name w:val="Normal (Web)"/>
    <w:basedOn w:val="Normal"/>
    <w:qFormat/>
    <w:rsid w:val="00786701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NoSpacing">
    <w:name w:val="No Spacing"/>
    <w:qFormat/>
    <w:rsid w:val="00786701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HTMLPreformatted">
    <w:name w:val="HTML Preformatted"/>
    <w:basedOn w:val="Normal"/>
    <w:semiHidden/>
    <w:unhideWhenUsed/>
    <w:qFormat/>
    <w:rsid w:val="009d6a1e"/>
    <w:pPr>
      <w:widowControl/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true"/>
    </w:pPr>
    <w:rPr>
      <w:rFonts w:ascii="Courier New" w:hAnsi="Courier New" w:eastAsia="SimSun" w:cs="Courier New"/>
      <w:sz w:val="20"/>
      <w:szCs w:val="20"/>
      <w:lang w:val="ru-RU" w:eastAsia="ar-SA"/>
    </w:rPr>
  </w:style>
  <w:style w:type="paragraph" w:styleId="Msonormal" w:customStyle="1">
    <w:name w:val="msonormal"/>
    <w:basedOn w:val="Normal"/>
    <w:qFormat/>
    <w:rsid w:val="009d6a1e"/>
    <w:pPr>
      <w:widowControl/>
      <w:suppressAutoHyphens w:val="true"/>
      <w:spacing w:before="280" w:after="280"/>
      <w:ind w:firstLine="709"/>
      <w:jc w:val="both"/>
    </w:pPr>
    <w:rPr>
      <w:rFonts w:ascii="Times New Roman" w:hAnsi="Times New Roman" w:eastAsia="Times New Roman" w:cs="Calibri"/>
      <w:sz w:val="24"/>
      <w:szCs w:val="24"/>
      <w:lang w:val="ru-RU" w:eastAsia="ar-SA"/>
    </w:rPr>
  </w:style>
  <w:style w:type="paragraph" w:styleId="116" w:customStyle="1">
    <w:name w:val="Текст сноски1"/>
    <w:basedOn w:val="Normal"/>
    <w:link w:val="22"/>
    <w:semiHidden/>
    <w:unhideWhenUsed/>
    <w:qFormat/>
    <w:rsid w:val="009d6a1e"/>
    <w:pPr>
      <w:widowControl/>
      <w:suppressAutoHyphens w:val="true"/>
    </w:pPr>
    <w:rPr>
      <w:rFonts w:ascii="Calibri" w:hAnsi="Calibri" w:eastAsia="Times New Roman" w:cs="Calibri"/>
      <w:sz w:val="20"/>
      <w:szCs w:val="20"/>
      <w:lang w:val="ru-RU" w:eastAsia="ar-SA"/>
    </w:rPr>
  </w:style>
  <w:style w:type="paragraph" w:styleId="Style33">
    <w:name w:val="Title"/>
    <w:basedOn w:val="Normal"/>
    <w:next w:val="Style28"/>
    <w:qFormat/>
    <w:rsid w:val="009d6a1e"/>
    <w:pPr>
      <w:keepNext w:val="true"/>
      <w:widowControl/>
      <w:suppressAutoHyphens w:val="true"/>
      <w:spacing w:lineRule="auto" w:line="360" w:before="240" w:after="120"/>
      <w:ind w:firstLine="709"/>
      <w:jc w:val="both"/>
    </w:pPr>
    <w:rPr>
      <w:rFonts w:eastAsia="Lucida Sans Unicode" w:cs="Mangal"/>
      <w:sz w:val="28"/>
      <w:szCs w:val="28"/>
      <w:lang w:val="ru-RU" w:eastAsia="ar-SA"/>
    </w:rPr>
  </w:style>
  <w:style w:type="paragraph" w:styleId="Style34">
    <w:name w:val="Body Text Indent"/>
    <w:basedOn w:val="Normal"/>
    <w:link w:val="23"/>
    <w:semiHidden/>
    <w:unhideWhenUsed/>
    <w:rsid w:val="009d6a1e"/>
    <w:pPr>
      <w:widowControl/>
      <w:suppressAutoHyphens w:val="true"/>
      <w:spacing w:before="0" w:after="120"/>
      <w:ind w:left="283" w:firstLine="709"/>
      <w:jc w:val="both"/>
    </w:pPr>
    <w:rPr>
      <w:rFonts w:ascii="Times New Roman" w:hAnsi="Times New Roman" w:eastAsia="Times New Roman" w:cs="Calibri"/>
      <w:sz w:val="24"/>
      <w:szCs w:val="24"/>
      <w:lang w:eastAsia="ar-SA"/>
    </w:rPr>
  </w:style>
  <w:style w:type="paragraph" w:styleId="Style35">
    <w:name w:val="Subtitle"/>
    <w:basedOn w:val="Normal"/>
    <w:next w:val="Style28"/>
    <w:link w:val="13"/>
    <w:qFormat/>
    <w:rsid w:val="009d6a1e"/>
    <w:pPr>
      <w:widowControl/>
      <w:suppressAutoHyphens w:val="true"/>
      <w:ind w:left="-567" w:firstLine="567"/>
    </w:pPr>
    <w:rPr>
      <w:rFonts w:ascii="Times New Roman" w:hAnsi="Times New Roman" w:eastAsia="Times New Roman" w:cs="Calibri"/>
      <w:sz w:val="28"/>
      <w:szCs w:val="20"/>
      <w:lang w:val="ru-RU" w:eastAsia="ar-SA"/>
    </w:rPr>
  </w:style>
  <w:style w:type="paragraph" w:styleId="BalloonText">
    <w:name w:val="Balloon Text"/>
    <w:basedOn w:val="Normal"/>
    <w:link w:val="14"/>
    <w:semiHidden/>
    <w:unhideWhenUsed/>
    <w:qFormat/>
    <w:rsid w:val="009d6a1e"/>
    <w:pPr>
      <w:widowControl/>
      <w:suppressAutoHyphens w:val="true"/>
      <w:ind w:firstLine="709"/>
      <w:jc w:val="both"/>
    </w:pPr>
    <w:rPr>
      <w:rFonts w:ascii="Tahoma" w:hAnsi="Tahoma" w:eastAsia="Calibri" w:cs="Calibri"/>
      <w:sz w:val="16"/>
      <w:szCs w:val="16"/>
      <w:lang w:eastAsia="ar-SA"/>
    </w:rPr>
  </w:style>
  <w:style w:type="paragraph" w:styleId="117" w:customStyle="1">
    <w:name w:val="Название1"/>
    <w:basedOn w:val="Normal"/>
    <w:qFormat/>
    <w:rsid w:val="009d6a1e"/>
    <w:pPr>
      <w:widowControl/>
      <w:suppressLineNumbers/>
      <w:suppressAutoHyphens w:val="true"/>
      <w:spacing w:lineRule="auto" w:line="360" w:before="120" w:after="120"/>
      <w:ind w:firstLine="709"/>
      <w:jc w:val="both"/>
    </w:pPr>
    <w:rPr>
      <w:rFonts w:eastAsia="Calibri" w:cs="Mangal"/>
      <w:i/>
      <w:iCs/>
      <w:sz w:val="20"/>
      <w:szCs w:val="24"/>
      <w:lang w:val="ru-RU" w:eastAsia="ar-SA"/>
    </w:rPr>
  </w:style>
  <w:style w:type="paragraph" w:styleId="118" w:customStyle="1">
    <w:name w:val="Указатель1"/>
    <w:basedOn w:val="Normal"/>
    <w:qFormat/>
    <w:rsid w:val="009d6a1e"/>
    <w:pPr>
      <w:widowControl/>
      <w:suppressLineNumbers/>
      <w:suppressAutoHyphens w:val="true"/>
      <w:spacing w:lineRule="auto" w:line="360"/>
      <w:ind w:firstLine="709"/>
      <w:jc w:val="both"/>
    </w:pPr>
    <w:rPr>
      <w:rFonts w:eastAsia="Calibri" w:cs="Mangal"/>
      <w:sz w:val="28"/>
      <w:lang w:val="ru-RU" w:eastAsia="ar-SA"/>
    </w:rPr>
  </w:style>
  <w:style w:type="paragraph" w:styleId="Style36" w:customStyle="1">
    <w:name w:val="Чертежный"/>
    <w:qFormat/>
    <w:rsid w:val="009d6a1e"/>
    <w:pPr>
      <w:widowControl/>
      <w:suppressAutoHyphens w:val="true"/>
      <w:bidi w:val="0"/>
      <w:jc w:val="both"/>
    </w:pPr>
    <w:rPr>
      <w:rFonts w:ascii="ISOCPEUR" w:hAnsi="ISOCPEUR" w:eastAsia="Times New Roman" w:cs="Calibri"/>
      <w:i/>
      <w:color w:val="auto"/>
      <w:kern w:val="0"/>
      <w:sz w:val="28"/>
      <w:szCs w:val="20"/>
      <w:lang w:val="uk-UA" w:eastAsia="ar-SA" w:bidi="ar-SA"/>
    </w:rPr>
  </w:style>
  <w:style w:type="paragraph" w:styleId="312" w:customStyle="1">
    <w:name w:val="Основной текст 31"/>
    <w:basedOn w:val="Normal"/>
    <w:qFormat/>
    <w:rsid w:val="009d6a1e"/>
    <w:pPr>
      <w:widowControl/>
      <w:suppressAutoHyphens w:val="true"/>
      <w:spacing w:before="0" w:after="120"/>
      <w:ind w:firstLine="709"/>
      <w:jc w:val="both"/>
    </w:pPr>
    <w:rPr>
      <w:rFonts w:ascii="Times New Roman" w:hAnsi="Times New Roman" w:eastAsia="Times New Roman" w:cs="Calibri"/>
      <w:sz w:val="16"/>
      <w:szCs w:val="16"/>
      <w:lang w:eastAsia="ar-SA"/>
    </w:rPr>
  </w:style>
  <w:style w:type="paragraph" w:styleId="316pt" w:customStyle="1">
    <w:name w:val="Стиль Заголовок 3 + 16 pt не полужирный подчеркивание Междустр.и..."/>
    <w:basedOn w:val="213"/>
    <w:qFormat/>
    <w:rsid w:val="009d6a1e"/>
    <w:pPr>
      <w:keepNext w:val="false"/>
      <w:keepLines w:val="false"/>
      <w:widowControl/>
      <w:suppressAutoHyphens w:val="true"/>
      <w:spacing w:lineRule="auto" w:line="360" w:before="0" w:after="0"/>
      <w:jc w:val="center"/>
    </w:pPr>
    <w:rPr>
      <w:rFonts w:ascii="Times New Roman" w:hAnsi="Times New Roman" w:eastAsia="Times New Roman" w:cs="Calibri"/>
      <w:color w:val="auto"/>
      <w:sz w:val="28"/>
      <w:szCs w:val="28"/>
      <w:u w:val="single"/>
      <w:lang w:eastAsia="ar-SA"/>
    </w:rPr>
  </w:style>
  <w:style w:type="paragraph" w:styleId="14pt" w:customStyle="1">
    <w:name w:val="Обычный + 14 pt"/>
    <w:basedOn w:val="Normal"/>
    <w:qFormat/>
    <w:rsid w:val="009d6a1e"/>
    <w:pPr>
      <w:suppressAutoHyphens w:val="true"/>
      <w:spacing w:lineRule="auto" w:line="360"/>
      <w:ind w:firstLine="709"/>
      <w:jc w:val="both"/>
    </w:pPr>
    <w:rPr>
      <w:rFonts w:ascii="Times New Roman" w:hAnsi="Times New Roman" w:eastAsia="Times New Roman" w:cs="Calibri"/>
      <w:sz w:val="28"/>
      <w:szCs w:val="28"/>
      <w:lang w:val="ru-RU" w:eastAsia="ar-SA"/>
    </w:rPr>
  </w:style>
  <w:style w:type="paragraph" w:styleId="Style37" w:customStyle="1">
    <w:name w:val="под"/>
    <w:basedOn w:val="Normal"/>
    <w:qFormat/>
    <w:rsid w:val="009d6a1e"/>
    <w:pPr>
      <w:widowControl/>
      <w:suppressAutoHyphens w:val="true"/>
      <w:ind w:firstLine="709"/>
      <w:jc w:val="center"/>
    </w:pPr>
    <w:rPr>
      <w:rFonts w:ascii="Times New Roman" w:hAnsi="Times New Roman" w:eastAsia="Times New Roman" w:cs="Calibri"/>
      <w:b/>
      <w:sz w:val="28"/>
      <w:szCs w:val="28"/>
      <w:lang w:val="ru-RU" w:eastAsia="ar-SA"/>
    </w:rPr>
  </w:style>
  <w:style w:type="paragraph" w:styleId="Xl28" w:customStyle="1">
    <w:name w:val="xl28"/>
    <w:basedOn w:val="Normal"/>
    <w:qFormat/>
    <w:rsid w:val="009d6a1e"/>
    <w:pPr>
      <w:widowControl/>
      <w:suppressAutoHyphens w:val="true"/>
      <w:spacing w:before="280" w:after="280"/>
      <w:ind w:firstLine="709"/>
      <w:jc w:val="center"/>
    </w:pPr>
    <w:rPr>
      <w:rFonts w:ascii="Arial Unicode MS" w:hAnsi="Arial Unicode MS" w:eastAsia="Arial Unicode MS" w:cs="Arial Unicode MS"/>
      <w:sz w:val="24"/>
      <w:szCs w:val="24"/>
      <w:lang w:val="ru-RU" w:eastAsia="ar-SA"/>
    </w:rPr>
  </w:style>
  <w:style w:type="paragraph" w:styleId="119" w:customStyle="1">
    <w:name w:val="Стиль Заголовок 1 + полужирный по центру"/>
    <w:basedOn w:val="111"/>
    <w:qFormat/>
    <w:rsid w:val="009d6a1e"/>
    <w:pPr>
      <w:keepNext w:val="false"/>
      <w:keepLines w:val="false"/>
      <w:pageBreakBefore/>
      <w:spacing w:before="0" w:after="0"/>
      <w:ind w:left="360" w:hanging="0"/>
      <w:jc w:val="center"/>
    </w:pPr>
    <w:rPr>
      <w:rFonts w:ascii="Times New Roman" w:hAnsi="Times New Roman" w:eastAsia="Times New Roman" w:cs="Mangal"/>
      <w:b/>
      <w:bCs/>
      <w:color w:val="auto"/>
      <w:kern w:val="2"/>
      <w:sz w:val="28"/>
      <w:szCs w:val="28"/>
      <w:lang w:val="ru-RU" w:eastAsia="ar-SA"/>
    </w:rPr>
  </w:style>
  <w:style w:type="paragraph" w:styleId="313" w:customStyle="1">
    <w:name w:val="Основной текст с отступом 31"/>
    <w:basedOn w:val="Normal"/>
    <w:qFormat/>
    <w:rsid w:val="009d6a1e"/>
    <w:pPr>
      <w:widowControl/>
      <w:suppressAutoHyphens w:val="true"/>
      <w:spacing w:lineRule="auto" w:line="360" w:before="0" w:after="120"/>
      <w:ind w:left="283" w:firstLine="709"/>
      <w:jc w:val="both"/>
    </w:pPr>
    <w:rPr>
      <w:rFonts w:ascii="Calibri" w:hAnsi="Calibri" w:eastAsia="Calibri" w:cs="Calibri"/>
      <w:sz w:val="16"/>
      <w:szCs w:val="16"/>
      <w:lang w:eastAsia="ar-SA"/>
    </w:rPr>
  </w:style>
  <w:style w:type="paragraph" w:styleId="221" w:customStyle="1">
    <w:name w:val="Основной текст с отступом 22"/>
    <w:basedOn w:val="Normal"/>
    <w:qFormat/>
    <w:rsid w:val="009d6a1e"/>
    <w:pPr>
      <w:suppressAutoHyphens w:val="true"/>
      <w:spacing w:lineRule="auto" w:line="480" w:before="0" w:after="120"/>
      <w:ind w:left="283" w:firstLine="709"/>
      <w:jc w:val="both"/>
    </w:pPr>
    <w:rPr>
      <w:rFonts w:ascii="Times New Roman" w:hAnsi="Times New Roman" w:eastAsia="Times New Roman" w:cs="Calibri"/>
      <w:sz w:val="28"/>
      <w:szCs w:val="28"/>
      <w:lang w:eastAsia="ar-SA"/>
    </w:rPr>
  </w:style>
  <w:style w:type="paragraph" w:styleId="120" w:customStyle="1">
    <w:name w:val="Обычный1"/>
    <w:qFormat/>
    <w:rsid w:val="009d6a1e"/>
    <w:pPr>
      <w:widowControl/>
      <w:suppressAutoHyphens w:val="true"/>
      <w:bidi w:val="0"/>
      <w:snapToGrid w:val="false"/>
      <w:jc w:val="left"/>
    </w:pPr>
    <w:rPr>
      <w:rFonts w:ascii="Arial" w:hAnsi="Arial" w:eastAsia="Times New Roman" w:cs="Calibri"/>
      <w:color w:val="auto"/>
      <w:kern w:val="0"/>
      <w:sz w:val="18"/>
      <w:szCs w:val="20"/>
      <w:lang w:eastAsia="ar-SA" w:val="ru-RU" w:bidi="ar-SA"/>
    </w:rPr>
  </w:style>
  <w:style w:type="paragraph" w:styleId="Msobodytextindentcxspmiddle" w:customStyle="1">
    <w:name w:val="msobodytextindentcxspmiddle"/>
    <w:basedOn w:val="Normal"/>
    <w:qFormat/>
    <w:rsid w:val="009d6a1e"/>
    <w:pPr>
      <w:widowControl/>
      <w:suppressAutoHyphens w:val="true"/>
      <w:spacing w:before="280" w:after="280"/>
    </w:pPr>
    <w:rPr>
      <w:rFonts w:ascii="Times New Roman" w:hAnsi="Times New Roman" w:eastAsia="Times New Roman" w:cs="Calibri"/>
      <w:sz w:val="24"/>
      <w:szCs w:val="24"/>
      <w:lang w:val="ru-RU" w:eastAsia="ar-SA"/>
    </w:rPr>
  </w:style>
  <w:style w:type="paragraph" w:styleId="Msobodytextindentcxsplast" w:customStyle="1">
    <w:name w:val="msobodytextindentcxsplast"/>
    <w:basedOn w:val="Normal"/>
    <w:qFormat/>
    <w:rsid w:val="009d6a1e"/>
    <w:pPr>
      <w:widowControl/>
      <w:suppressAutoHyphens w:val="true"/>
      <w:spacing w:before="280" w:after="280"/>
    </w:pPr>
    <w:rPr>
      <w:rFonts w:ascii="Times New Roman" w:hAnsi="Times New Roman" w:eastAsia="Times New Roman" w:cs="Calibri"/>
      <w:sz w:val="24"/>
      <w:szCs w:val="24"/>
      <w:lang w:val="ru-RU" w:eastAsia="ar-SA"/>
    </w:rPr>
  </w:style>
  <w:style w:type="paragraph" w:styleId="Msonormalcxspmiddle" w:customStyle="1">
    <w:name w:val="msonormalcxspmiddle"/>
    <w:basedOn w:val="Normal"/>
    <w:qFormat/>
    <w:rsid w:val="009d6a1e"/>
    <w:pPr>
      <w:widowControl/>
      <w:suppressAutoHyphens w:val="true"/>
      <w:spacing w:before="280" w:after="280"/>
    </w:pPr>
    <w:rPr>
      <w:rFonts w:ascii="Times New Roman" w:hAnsi="Times New Roman" w:eastAsia="Times New Roman" w:cs="Calibri"/>
      <w:sz w:val="24"/>
      <w:szCs w:val="24"/>
      <w:lang w:val="ru-RU" w:eastAsia="ar-SA"/>
    </w:rPr>
  </w:style>
  <w:style w:type="paragraph" w:styleId="121" w:customStyle="1">
    <w:name w:val="12"/>
    <w:basedOn w:val="213"/>
    <w:qFormat/>
    <w:rsid w:val="009d6a1e"/>
    <w:pPr>
      <w:keepLines w:val="false"/>
      <w:widowControl/>
      <w:suppressAutoHyphens w:val="true"/>
      <w:spacing w:before="0" w:after="0"/>
      <w:ind w:firstLine="709"/>
      <w:jc w:val="center"/>
    </w:pPr>
    <w:rPr>
      <w:rFonts w:ascii="Times New Roman" w:hAnsi="Times New Roman" w:eastAsia="Times New Roman" w:cs="Calibri"/>
      <w:color w:val="auto"/>
      <w:sz w:val="28"/>
      <w:szCs w:val="28"/>
      <w:lang w:eastAsia="ar-SA"/>
    </w:rPr>
  </w:style>
  <w:style w:type="paragraph" w:styleId="215" w:customStyle="1">
    <w:name w:val="Основной текст 21"/>
    <w:basedOn w:val="Normal"/>
    <w:qFormat/>
    <w:rsid w:val="009d6a1e"/>
    <w:pPr>
      <w:widowControl/>
      <w:suppressAutoHyphens w:val="true"/>
      <w:spacing w:lineRule="auto" w:line="480" w:before="0" w:after="120"/>
    </w:pPr>
    <w:rPr>
      <w:rFonts w:ascii="Calibri" w:hAnsi="Calibri" w:eastAsia="Calibri" w:cs="Calibri"/>
      <w:lang w:eastAsia="ar-SA"/>
    </w:rPr>
  </w:style>
  <w:style w:type="paragraph" w:styleId="Standard" w:customStyle="1">
    <w:name w:val="Standard"/>
    <w:qFormat/>
    <w:rsid w:val="009d6a1e"/>
    <w:pPr>
      <w:widowControl/>
      <w:suppressAutoHyphens w:val="true"/>
      <w:bidi w:val="0"/>
      <w:jc w:val="left"/>
    </w:pPr>
    <w:rPr>
      <w:rFonts w:ascii="Times New Roman" w:hAnsi="Times New Roman" w:eastAsia="Times New Roman" w:cs="Calibri"/>
      <w:color w:val="auto"/>
      <w:kern w:val="2"/>
      <w:sz w:val="24"/>
      <w:szCs w:val="24"/>
      <w:lang w:eastAsia="ar-SA" w:val="ru-RU" w:bidi="ar-SA"/>
    </w:rPr>
  </w:style>
  <w:style w:type="paragraph" w:styleId="27" w:customStyle="1">
    <w:name w:val="Обычный2"/>
    <w:qFormat/>
    <w:rsid w:val="009d6a1e"/>
    <w:pPr>
      <w:widowControl/>
      <w:suppressAutoHyphens w:val="true"/>
      <w:bidi w:val="0"/>
      <w:jc w:val="left"/>
    </w:pPr>
    <w:rPr>
      <w:rFonts w:ascii="Times New Roman" w:hAnsi="Times New Roman" w:eastAsia="Times New Roman" w:cs="Calibri"/>
      <w:color w:val="auto"/>
      <w:kern w:val="0"/>
      <w:sz w:val="22"/>
      <w:szCs w:val="20"/>
      <w:lang w:eastAsia="ar-SA" w:val="ru-RU" w:bidi="ar-SA"/>
    </w:rPr>
  </w:style>
  <w:style w:type="paragraph" w:styleId="122" w:customStyle="1">
    <w:name w:val="Текст1"/>
    <w:basedOn w:val="Normal"/>
    <w:qFormat/>
    <w:rsid w:val="009d6a1e"/>
    <w:pPr>
      <w:widowControl/>
      <w:suppressAutoHyphens w:val="true"/>
    </w:pPr>
    <w:rPr>
      <w:rFonts w:ascii="Consolas" w:hAnsi="Consolas" w:eastAsia="Calibri" w:cs="Consolas"/>
      <w:sz w:val="21"/>
      <w:szCs w:val="21"/>
      <w:lang w:val="ru-RU" w:eastAsia="ar-SA"/>
    </w:rPr>
  </w:style>
  <w:style w:type="paragraph" w:styleId="Xl58" w:customStyle="1">
    <w:name w:val="xl58"/>
    <w:basedOn w:val="Normal"/>
    <w:qFormat/>
    <w:rsid w:val="009d6a1e"/>
    <w:pPr>
      <w:widowControl/>
      <w:suppressAutoHyphens w:val="true"/>
      <w:spacing w:before="280" w:after="280"/>
    </w:pPr>
    <w:rPr>
      <w:rFonts w:ascii="Arial Unicode MS" w:hAnsi="Arial Unicode MS" w:eastAsia="Arial Unicode MS" w:cs="Arial Unicode MS"/>
      <w:sz w:val="24"/>
      <w:szCs w:val="24"/>
      <w:lang w:val="ru-RU" w:eastAsia="ar-SA"/>
    </w:rPr>
  </w:style>
  <w:style w:type="paragraph" w:styleId="A0" w:customStyle="1">
    <w:name w:val="a0"/>
    <w:basedOn w:val="Normal"/>
    <w:qFormat/>
    <w:rsid w:val="009d6a1e"/>
    <w:pPr>
      <w:widowControl/>
      <w:suppressAutoHyphens w:val="true"/>
      <w:spacing w:before="280" w:after="280"/>
    </w:pPr>
    <w:rPr>
      <w:rFonts w:ascii="Times New Roman" w:hAnsi="Times New Roman" w:eastAsia="Times New Roman" w:cs="Calibri"/>
      <w:sz w:val="24"/>
      <w:szCs w:val="24"/>
      <w:lang w:val="ru-RU" w:eastAsia="ar-SA"/>
    </w:rPr>
  </w:style>
  <w:style w:type="paragraph" w:styleId="Style38" w:customStyle="1">
    <w:name w:val="Специальный"/>
    <w:basedOn w:val="Normal"/>
    <w:qFormat/>
    <w:rsid w:val="009d6a1e"/>
    <w:pPr>
      <w:widowControl/>
      <w:tabs>
        <w:tab w:val="clear" w:pos="708"/>
        <w:tab w:val="left" w:pos="717" w:leader="none"/>
      </w:tabs>
      <w:suppressAutoHyphens w:val="true"/>
      <w:ind w:left="717" w:hanging="360"/>
      <w:jc w:val="center"/>
    </w:pPr>
    <w:rPr>
      <w:rFonts w:ascii="Times New Roman" w:hAnsi="Times New Roman" w:eastAsia="Times New Roman" w:cs="Calibri"/>
      <w:b/>
      <w:bCs/>
      <w:sz w:val="28"/>
      <w:szCs w:val="24"/>
      <w:u w:val="single"/>
      <w:lang w:val="ru-RU" w:eastAsia="ar-SA"/>
    </w:rPr>
  </w:style>
  <w:style w:type="paragraph" w:styleId="Style49" w:customStyle="1">
    <w:name w:val="Style49"/>
    <w:basedOn w:val="Normal"/>
    <w:qFormat/>
    <w:rsid w:val="009d6a1e"/>
    <w:pPr>
      <w:suppressAutoHyphens w:val="true"/>
      <w:spacing w:lineRule="exact" w:line="277"/>
      <w:ind w:firstLine="842"/>
      <w:jc w:val="both"/>
    </w:pPr>
    <w:rPr>
      <w:rFonts w:ascii="Times New Roman" w:hAnsi="Times New Roman" w:eastAsia="Times New Roman" w:cs="Calibri"/>
      <w:sz w:val="24"/>
      <w:szCs w:val="24"/>
      <w:lang w:val="ru-RU" w:eastAsia="ar-SA"/>
    </w:rPr>
  </w:style>
  <w:style w:type="paragraph" w:styleId="Style50" w:customStyle="1">
    <w:name w:val="Style50"/>
    <w:basedOn w:val="Normal"/>
    <w:qFormat/>
    <w:rsid w:val="009d6a1e"/>
    <w:pPr>
      <w:suppressAutoHyphens w:val="true"/>
      <w:spacing w:lineRule="exact" w:line="277"/>
      <w:ind w:firstLine="587"/>
      <w:jc w:val="both"/>
    </w:pPr>
    <w:rPr>
      <w:rFonts w:ascii="Times New Roman" w:hAnsi="Times New Roman" w:eastAsia="Times New Roman" w:cs="Calibri"/>
      <w:sz w:val="24"/>
      <w:szCs w:val="24"/>
      <w:lang w:val="ru-RU" w:eastAsia="ar-SA"/>
    </w:rPr>
  </w:style>
  <w:style w:type="paragraph" w:styleId="181" w:customStyle="1">
    <w:name w:val="Стиль18"/>
    <w:basedOn w:val="Normal"/>
    <w:qFormat/>
    <w:rsid w:val="009d6a1e"/>
    <w:pPr>
      <w:widowControl/>
      <w:suppressAutoHyphens w:val="true"/>
      <w:jc w:val="center"/>
    </w:pPr>
    <w:rPr>
      <w:rFonts w:ascii="Times New Roman" w:hAnsi="Times New Roman" w:eastAsia="Times New Roman" w:cs="Calibri"/>
      <w:b/>
      <w:sz w:val="36"/>
      <w:szCs w:val="36"/>
      <w:u w:val="single"/>
      <w:lang w:val="ru-RU" w:eastAsia="ar-SA"/>
    </w:rPr>
  </w:style>
  <w:style w:type="paragraph" w:styleId="123" w:customStyle="1">
    <w:name w:val="Стиль1"/>
    <w:basedOn w:val="Normal"/>
    <w:qFormat/>
    <w:rsid w:val="009d6a1e"/>
    <w:pPr>
      <w:widowControl/>
      <w:suppressAutoHyphens w:val="true"/>
      <w:spacing w:lineRule="auto" w:line="360"/>
      <w:jc w:val="center"/>
    </w:pPr>
    <w:rPr>
      <w:rFonts w:ascii="Times New Roman" w:hAnsi="Times New Roman" w:eastAsia="Calibri" w:cs="Calibri"/>
      <w:b/>
      <w:sz w:val="28"/>
      <w:szCs w:val="28"/>
      <w:lang w:val="ru-RU" w:eastAsia="ar-SA"/>
    </w:rPr>
  </w:style>
  <w:style w:type="paragraph" w:styleId="28" w:customStyle="1">
    <w:name w:val="Стиль2"/>
    <w:basedOn w:val="123"/>
    <w:qFormat/>
    <w:rsid w:val="009d6a1e"/>
    <w:pPr/>
    <w:rPr/>
  </w:style>
  <w:style w:type="paragraph" w:styleId="ConsPlusNormal" w:customStyle="1">
    <w:name w:val="ConsPlusNormal"/>
    <w:qFormat/>
    <w:rsid w:val="009d6a1e"/>
    <w:pPr>
      <w:widowControl w:val="false"/>
      <w:suppressAutoHyphens w:val="true"/>
      <w:bidi w:val="0"/>
      <w:ind w:firstLine="720"/>
      <w:jc w:val="left"/>
    </w:pPr>
    <w:rPr>
      <w:rFonts w:ascii="Arial" w:hAnsi="Arial" w:eastAsia="Times New Roman" w:cs="Arial"/>
      <w:color w:val="auto"/>
      <w:kern w:val="0"/>
      <w:sz w:val="22"/>
      <w:szCs w:val="20"/>
      <w:lang w:eastAsia="ar-SA" w:val="ru-RU" w:bidi="ar-SA"/>
    </w:rPr>
  </w:style>
  <w:style w:type="paragraph" w:styleId="ConsPlusNonformat" w:customStyle="1">
    <w:name w:val="ConsPlusNonformat"/>
    <w:qFormat/>
    <w:rsid w:val="009d6a1e"/>
    <w:pPr>
      <w:widowControl w:val="false"/>
      <w:suppressAutoHyphens w:val="true"/>
      <w:bidi w:val="0"/>
      <w:jc w:val="left"/>
    </w:pPr>
    <w:rPr>
      <w:rFonts w:ascii="Courier New" w:hAnsi="Courier New" w:eastAsia="Times New Roman" w:cs="Courier New"/>
      <w:color w:val="auto"/>
      <w:kern w:val="0"/>
      <w:sz w:val="22"/>
      <w:szCs w:val="20"/>
      <w:lang w:eastAsia="ar-SA" w:val="ru-RU" w:bidi="ar-SA"/>
    </w:rPr>
  </w:style>
  <w:style w:type="paragraph" w:styleId="Style39" w:customStyle="1">
    <w:name w:val="Ñòèëü"/>
    <w:qFormat/>
    <w:rsid w:val="009d6a1e"/>
    <w:pPr>
      <w:widowControl w:val="false"/>
      <w:suppressAutoHyphens w:val="true"/>
      <w:bidi w:val="0"/>
      <w:jc w:val="left"/>
    </w:pPr>
    <w:rPr>
      <w:rFonts w:ascii="Times New Roman" w:hAnsi="Times New Roman" w:eastAsia="Times New Roman" w:cs="Calibri"/>
      <w:color w:val="auto"/>
      <w:spacing w:val="-1"/>
      <w:kern w:val="2"/>
      <w:sz w:val="24"/>
      <w:szCs w:val="20"/>
      <w:lang w:val="en-US" w:eastAsia="ar-SA" w:bidi="ar-SA"/>
    </w:rPr>
  </w:style>
  <w:style w:type="paragraph" w:styleId="124" w:customStyle="1">
    <w:name w:val="Цитата1"/>
    <w:basedOn w:val="Normal"/>
    <w:qFormat/>
    <w:rsid w:val="009d6a1e"/>
    <w:pPr>
      <w:widowControl/>
      <w:suppressAutoHyphens w:val="true"/>
      <w:ind w:left="-567" w:right="-766" w:firstLine="425"/>
    </w:pPr>
    <w:rPr>
      <w:rFonts w:ascii="Times New Roman" w:hAnsi="Times New Roman" w:eastAsia="Times New Roman" w:cs="Calibri"/>
      <w:sz w:val="28"/>
      <w:szCs w:val="20"/>
      <w:lang w:val="ru-RU" w:eastAsia="ar-SA"/>
    </w:rPr>
  </w:style>
  <w:style w:type="paragraph" w:styleId="125" w:customStyle="1">
    <w:name w:val="Схема документа1"/>
    <w:basedOn w:val="Normal"/>
    <w:qFormat/>
    <w:rsid w:val="009d6a1e"/>
    <w:pPr>
      <w:widowControl/>
      <w:shd w:val="clear" w:color="auto" w:fill="000080"/>
      <w:suppressAutoHyphens w:val="true"/>
    </w:pPr>
    <w:rPr>
      <w:rFonts w:ascii="Tahoma" w:hAnsi="Tahoma" w:eastAsia="Times New Roman" w:cs="Calibri"/>
      <w:sz w:val="20"/>
      <w:szCs w:val="20"/>
      <w:lang w:val="ru-RU" w:eastAsia="ar-SA"/>
    </w:rPr>
  </w:style>
  <w:style w:type="paragraph" w:styleId="Style40" w:customStyle="1">
    <w:name w:val="Название организации"/>
    <w:basedOn w:val="Style28"/>
    <w:next w:val="Style28"/>
    <w:qFormat/>
    <w:rsid w:val="009d6a1e"/>
    <w:pPr>
      <w:keepLines/>
      <w:widowControl/>
      <w:suppressAutoHyphens w:val="true"/>
      <w:spacing w:lineRule="atLeast" w:line="240" w:before="0" w:after="40"/>
      <w:jc w:val="center"/>
    </w:pPr>
    <w:rPr>
      <w:rFonts w:ascii="Garamond MT" w:hAnsi="Garamond MT" w:eastAsia="Times New Roman" w:cs="Calibri"/>
      <w:caps/>
      <w:spacing w:val="75"/>
      <w:kern w:val="2"/>
      <w:sz w:val="21"/>
      <w:szCs w:val="20"/>
      <w:lang w:val="ru-RU" w:eastAsia="ar-SA"/>
    </w:rPr>
  </w:style>
  <w:style w:type="paragraph" w:styleId="Style41" w:customStyle="1">
    <w:name w:val="Внутренний адрес"/>
    <w:basedOn w:val="Style28"/>
    <w:qFormat/>
    <w:rsid w:val="009d6a1e"/>
    <w:pPr>
      <w:widowControl/>
      <w:suppressAutoHyphens w:val="true"/>
      <w:spacing w:lineRule="atLeast" w:line="240"/>
    </w:pPr>
    <w:rPr>
      <w:rFonts w:ascii="Times New Roman" w:hAnsi="Times New Roman" w:eastAsia="Times New Roman" w:cs="Calibri"/>
      <w:kern w:val="2"/>
      <w:sz w:val="22"/>
      <w:szCs w:val="20"/>
      <w:lang w:val="ru-RU" w:eastAsia="ar-SA"/>
    </w:rPr>
  </w:style>
  <w:style w:type="paragraph" w:styleId="ConsNormal" w:customStyle="1">
    <w:name w:val="ConsNormal"/>
    <w:qFormat/>
    <w:rsid w:val="009d6a1e"/>
    <w:pPr>
      <w:widowControl w:val="false"/>
      <w:suppressAutoHyphens w:val="true"/>
      <w:bidi w:val="0"/>
      <w:ind w:firstLine="720"/>
      <w:jc w:val="left"/>
    </w:pPr>
    <w:rPr>
      <w:rFonts w:ascii="Arial" w:hAnsi="Arial" w:eastAsia="Times New Roman" w:cs="Calibri"/>
      <w:color w:val="auto"/>
      <w:kern w:val="0"/>
      <w:sz w:val="22"/>
      <w:szCs w:val="20"/>
      <w:lang w:eastAsia="ar-SA" w:val="ru-RU" w:bidi="ar-SA"/>
    </w:rPr>
  </w:style>
  <w:style w:type="paragraph" w:styleId="Iauiue1" w:customStyle="1">
    <w:name w:val="Iau?iue1"/>
    <w:qFormat/>
    <w:rsid w:val="009d6a1e"/>
    <w:pPr>
      <w:widowControl/>
      <w:suppressAutoHyphens w:val="true"/>
      <w:bidi w:val="0"/>
      <w:jc w:val="both"/>
    </w:pPr>
    <w:rPr>
      <w:rFonts w:ascii="Times New Roman" w:hAnsi="Times New Roman" w:eastAsia="Times New Roman" w:cs="Calibri"/>
      <w:color w:val="auto"/>
      <w:kern w:val="0"/>
      <w:sz w:val="28"/>
      <w:szCs w:val="20"/>
      <w:lang w:eastAsia="ar-SA" w:val="ru-RU" w:bidi="ar-SA"/>
    </w:rPr>
  </w:style>
  <w:style w:type="paragraph" w:styleId="FR2" w:customStyle="1">
    <w:name w:val="FR2"/>
    <w:qFormat/>
    <w:rsid w:val="009d6a1e"/>
    <w:pPr>
      <w:widowControl w:val="false"/>
      <w:suppressAutoHyphens w:val="true"/>
      <w:bidi w:val="0"/>
      <w:jc w:val="both"/>
    </w:pPr>
    <w:rPr>
      <w:rFonts w:ascii="Arial" w:hAnsi="Arial" w:eastAsia="Times New Roman" w:cs="Arial"/>
      <w:color w:val="auto"/>
      <w:kern w:val="0"/>
      <w:sz w:val="28"/>
      <w:szCs w:val="28"/>
      <w:lang w:eastAsia="ar-SA" w:val="ru-RU" w:bidi="ar-SA"/>
    </w:rPr>
  </w:style>
  <w:style w:type="paragraph" w:styleId="FR4" w:customStyle="1">
    <w:name w:val="FR4"/>
    <w:qFormat/>
    <w:rsid w:val="009d6a1e"/>
    <w:pPr>
      <w:widowControl w:val="false"/>
      <w:suppressAutoHyphens w:val="true"/>
      <w:bidi w:val="0"/>
      <w:spacing w:before="640" w:after="0"/>
      <w:ind w:left="160" w:hanging="0"/>
      <w:jc w:val="left"/>
    </w:pPr>
    <w:rPr>
      <w:rFonts w:ascii="Arial" w:hAnsi="Arial" w:eastAsia="Times New Roman" w:cs="Arial"/>
      <w:color w:val="auto"/>
      <w:kern w:val="0"/>
      <w:sz w:val="18"/>
      <w:szCs w:val="18"/>
      <w:lang w:eastAsia="ar-SA" w:val="ru-RU" w:bidi="ar-SA"/>
    </w:rPr>
  </w:style>
  <w:style w:type="paragraph" w:styleId="CharChar" w:customStyle="1">
    <w:name w:val="Char Знак Знак Char Знак Знак Знак Знак Знак Знак Знак Знак Знак Знак Знак Знак Знак Знак Знак Знак"/>
    <w:basedOn w:val="Normal"/>
    <w:qFormat/>
    <w:rsid w:val="009d6a1e"/>
    <w:pPr>
      <w:widowControl/>
      <w:suppressAutoHyphens w:val="true"/>
    </w:pPr>
    <w:rPr>
      <w:rFonts w:ascii="Verdana" w:hAnsi="Verdana" w:eastAsia="Times New Roman" w:cs="Verdana"/>
      <w:sz w:val="20"/>
      <w:szCs w:val="20"/>
      <w:lang w:eastAsia="ar-SA"/>
    </w:rPr>
  </w:style>
  <w:style w:type="paragraph" w:styleId="WPHeading3" w:customStyle="1">
    <w:name w:val="WP Heading 3"/>
    <w:basedOn w:val="Normal"/>
    <w:qFormat/>
    <w:rsid w:val="009d6a1e"/>
    <w:pPr>
      <w:widowControl/>
      <w:tabs>
        <w:tab w:val="clear" w:pos="708"/>
        <w:tab w:val="left" w:pos="2385" w:leader="none"/>
      </w:tabs>
      <w:suppressAutoHyphens w:val="true"/>
      <w:ind w:left="2385" w:hanging="360"/>
    </w:pPr>
    <w:rPr>
      <w:rFonts w:ascii="Times New Roman" w:hAnsi="Times New Roman" w:eastAsia="Times New Roman" w:cs="Calibri"/>
      <w:sz w:val="24"/>
      <w:szCs w:val="24"/>
      <w:lang w:val="ru-RU" w:eastAsia="ar-SA"/>
    </w:rPr>
  </w:style>
  <w:style w:type="paragraph" w:styleId="ConsNonformat" w:customStyle="1">
    <w:name w:val="ConsNonformat"/>
    <w:qFormat/>
    <w:rsid w:val="009d6a1e"/>
    <w:pPr>
      <w:widowControl w:val="false"/>
      <w:suppressAutoHyphens w:val="true"/>
      <w:bidi w:val="0"/>
      <w:jc w:val="left"/>
    </w:pPr>
    <w:rPr>
      <w:rFonts w:ascii="Courier New" w:hAnsi="Courier New" w:eastAsia="Times New Roman" w:cs="Courier New"/>
      <w:color w:val="auto"/>
      <w:kern w:val="0"/>
      <w:sz w:val="22"/>
      <w:szCs w:val="20"/>
      <w:lang w:eastAsia="ar-SA" w:val="ru-RU" w:bidi="ar-SA"/>
    </w:rPr>
  </w:style>
  <w:style w:type="paragraph" w:styleId="L2" w:customStyle="1">
    <w:name w:val="! L=2 !"/>
    <w:basedOn w:val="Normal"/>
    <w:next w:val="Normal"/>
    <w:qFormat/>
    <w:rsid w:val="009d6a1e"/>
    <w:pPr>
      <w:widowControl/>
      <w:suppressAutoHyphens w:val="true"/>
      <w:spacing w:before="240" w:after="120"/>
      <w:jc w:val="both"/>
    </w:pPr>
    <w:rPr>
      <w:rFonts w:ascii="Times New Roman" w:hAnsi="Times New Roman" w:eastAsia="Times New Roman" w:cs="Calibri"/>
      <w:b/>
      <w:smallCaps/>
      <w:color w:val="0000FF"/>
      <w:sz w:val="28"/>
      <w:szCs w:val="24"/>
      <w:lang w:val="ru-RU" w:eastAsia="ar-SA"/>
    </w:rPr>
  </w:style>
  <w:style w:type="paragraph" w:styleId="ConsTitle" w:customStyle="1">
    <w:name w:val="ConsTitle"/>
    <w:qFormat/>
    <w:rsid w:val="009d6a1e"/>
    <w:pPr>
      <w:widowControl w:val="false"/>
      <w:suppressAutoHyphens w:val="true"/>
      <w:bidi w:val="0"/>
      <w:jc w:val="left"/>
    </w:pPr>
    <w:rPr>
      <w:rFonts w:ascii="Arial" w:hAnsi="Arial" w:eastAsia="Times New Roman" w:cs="Arial"/>
      <w:b/>
      <w:bCs/>
      <w:color w:val="auto"/>
      <w:kern w:val="0"/>
      <w:sz w:val="16"/>
      <w:szCs w:val="16"/>
      <w:lang w:eastAsia="ar-SA" w:val="ru-RU" w:bidi="ar-SA"/>
    </w:rPr>
  </w:style>
  <w:style w:type="paragraph" w:styleId="AAA" w:customStyle="1">
    <w:name w:val="! AAA !"/>
    <w:qFormat/>
    <w:rsid w:val="009d6a1e"/>
    <w:pPr>
      <w:widowControl/>
      <w:suppressAutoHyphens w:val="true"/>
      <w:bidi w:val="0"/>
      <w:spacing w:before="0" w:after="120"/>
      <w:jc w:val="both"/>
    </w:pPr>
    <w:rPr>
      <w:rFonts w:ascii="Times New Roman" w:hAnsi="Times New Roman" w:eastAsia="Times New Roman" w:cs="Calibri"/>
      <w:color w:val="0000FF"/>
      <w:kern w:val="0"/>
      <w:sz w:val="24"/>
      <w:szCs w:val="24"/>
      <w:lang w:eastAsia="ar-SA" w:val="ru-RU" w:bidi="ar-SA"/>
    </w:rPr>
  </w:style>
  <w:style w:type="paragraph" w:styleId="Preformat" w:customStyle="1">
    <w:name w:val="Preformat"/>
    <w:qFormat/>
    <w:rsid w:val="009d6a1e"/>
    <w:pPr>
      <w:widowControl/>
      <w:suppressAutoHyphens w:val="true"/>
      <w:bidi w:val="0"/>
      <w:jc w:val="left"/>
    </w:pPr>
    <w:rPr>
      <w:rFonts w:ascii="Courier New" w:hAnsi="Courier New" w:eastAsia="Times New Roman" w:cs="Courier New"/>
      <w:color w:val="auto"/>
      <w:kern w:val="0"/>
      <w:sz w:val="22"/>
      <w:szCs w:val="20"/>
      <w:lang w:eastAsia="ar-SA" w:val="ru-RU" w:bidi="ar-SA"/>
    </w:rPr>
  </w:style>
  <w:style w:type="paragraph" w:styleId="Consnormal1" w:customStyle="1">
    <w:name w:val="consnormal"/>
    <w:basedOn w:val="Normal"/>
    <w:qFormat/>
    <w:rsid w:val="009d6a1e"/>
    <w:pPr>
      <w:widowControl/>
      <w:suppressAutoHyphens w:val="true"/>
      <w:spacing w:before="280" w:after="280"/>
    </w:pPr>
    <w:rPr>
      <w:rFonts w:ascii="Times New Roman" w:hAnsi="Times New Roman" w:eastAsia="Times New Roman" w:cs="Calibri"/>
      <w:sz w:val="24"/>
      <w:szCs w:val="24"/>
      <w:lang w:val="ru-RU" w:eastAsia="ar-SA"/>
    </w:rPr>
  </w:style>
  <w:style w:type="paragraph" w:styleId="216" w:customStyle="1">
    <w:name w:val="Основной текст с отступом 21"/>
    <w:basedOn w:val="Normal"/>
    <w:qFormat/>
    <w:rsid w:val="009d6a1e"/>
    <w:pPr>
      <w:widowControl/>
      <w:tabs>
        <w:tab w:val="clear" w:pos="708"/>
        <w:tab w:val="left" w:pos="4962" w:leader="none"/>
      </w:tabs>
      <w:suppressAutoHyphens w:val="true"/>
      <w:ind w:firstLine="340"/>
      <w:jc w:val="both"/>
    </w:pPr>
    <w:rPr>
      <w:rFonts w:ascii="Times New Roman" w:hAnsi="Times New Roman" w:eastAsia="Times New Roman" w:cs="Calibri"/>
      <w:bCs/>
      <w:sz w:val="28"/>
      <w:szCs w:val="20"/>
      <w:lang w:val="ru-RU" w:eastAsia="ar-SA"/>
    </w:rPr>
  </w:style>
  <w:style w:type="paragraph" w:styleId="Xl40" w:customStyle="1">
    <w:name w:val="xl40"/>
    <w:basedOn w:val="Normal"/>
    <w:qFormat/>
    <w:rsid w:val="009d6a1e"/>
    <w:pPr>
      <w:widowControl/>
      <w:suppressAutoHyphens w:val="true"/>
      <w:spacing w:before="100" w:after="100"/>
    </w:pPr>
    <w:rPr>
      <w:rFonts w:ascii="Courier New" w:hAnsi="Courier New" w:eastAsia="Arial Unicode MS" w:cs="Calibri"/>
      <w:sz w:val="16"/>
      <w:szCs w:val="20"/>
      <w:lang w:val="ru-RU" w:eastAsia="ar-SA"/>
    </w:rPr>
  </w:style>
  <w:style w:type="paragraph" w:styleId="Style42" w:customStyle="1">
    <w:name w:val="Знак Знак Знак"/>
    <w:basedOn w:val="Normal"/>
    <w:qFormat/>
    <w:rsid w:val="009d6a1e"/>
    <w:pPr>
      <w:widowControl/>
      <w:suppressAutoHyphens w:val="true"/>
      <w:spacing w:lineRule="exact" w:line="240" w:before="0" w:after="160"/>
    </w:pPr>
    <w:rPr>
      <w:rFonts w:ascii="Verdana" w:hAnsi="Verdana" w:eastAsia="Times New Roman" w:cs="Calibri"/>
      <w:sz w:val="20"/>
      <w:szCs w:val="20"/>
      <w:lang w:eastAsia="ar-SA"/>
    </w:rPr>
  </w:style>
  <w:style w:type="paragraph" w:styleId="Style43" w:customStyle="1">
    <w:name w:val="Содержимое таблицы"/>
    <w:basedOn w:val="Normal"/>
    <w:qFormat/>
    <w:rsid w:val="009d6a1e"/>
    <w:pPr>
      <w:widowControl/>
      <w:suppressLineNumbers/>
      <w:suppressAutoHyphens w:val="true"/>
      <w:spacing w:lineRule="auto" w:line="360"/>
      <w:ind w:firstLine="709"/>
      <w:jc w:val="both"/>
    </w:pPr>
    <w:rPr>
      <w:rFonts w:ascii="Times New Roman" w:hAnsi="Times New Roman" w:eastAsia="Calibri" w:cs="Calibri"/>
      <w:sz w:val="28"/>
      <w:lang w:val="ru-RU" w:eastAsia="ar-SA"/>
    </w:rPr>
  </w:style>
  <w:style w:type="paragraph" w:styleId="Style44" w:customStyle="1">
    <w:name w:val="Заголовок таблицы"/>
    <w:basedOn w:val="Style43"/>
    <w:qFormat/>
    <w:rsid w:val="009d6a1e"/>
    <w:pPr>
      <w:jc w:val="center"/>
    </w:pPr>
    <w:rPr>
      <w:b/>
      <w:bCs/>
    </w:rPr>
  </w:style>
  <w:style w:type="paragraph" w:styleId="Style45" w:customStyle="1">
    <w:name w:val="Содержимое врезки"/>
    <w:basedOn w:val="Style28"/>
    <w:qFormat/>
    <w:rsid w:val="009d6a1e"/>
    <w:pPr>
      <w:widowControl/>
      <w:suppressAutoHyphens w:val="true"/>
      <w:spacing w:lineRule="auto" w:line="336"/>
      <w:ind w:firstLine="851"/>
      <w:jc w:val="both"/>
    </w:pPr>
    <w:rPr>
      <w:rFonts w:ascii="Times New Roman" w:hAnsi="Times New Roman" w:eastAsia="Times New Roman" w:cs="Calibri"/>
      <w:sz w:val="24"/>
      <w:szCs w:val="24"/>
      <w:lang w:eastAsia="ar-SA"/>
    </w:rPr>
  </w:style>
  <w:style w:type="paragraph" w:styleId="Style46" w:customStyle="1">
    <w:name w:val="Название таблицы"/>
    <w:basedOn w:val="Caption"/>
    <w:qFormat/>
    <w:rsid w:val="00871553"/>
    <w:pPr>
      <w:keepNext w:val="true"/>
      <w:widowControl/>
      <w:spacing w:before="240" w:after="0"/>
    </w:pPr>
    <w:rPr>
      <w:rFonts w:ascii="Calibri" w:hAnsi="Calibri" w:eastAsia="Times New Roman" w:cs="Times New Roman"/>
      <w:b/>
      <w:bCs/>
      <w:i w:val="false"/>
      <w:iCs w:val="false"/>
      <w:color w:val="auto"/>
      <w:sz w:val="24"/>
      <w:szCs w:val="22"/>
      <w:lang w:val="ru-RU" w:eastAsia="ru-RU"/>
    </w:rPr>
  </w:style>
  <w:style w:type="paragraph" w:styleId="G2" w:customStyle="1">
    <w:name w:val="G_Маркированый список"/>
    <w:basedOn w:val="Normal"/>
    <w:link w:val="G0"/>
    <w:qFormat/>
    <w:rsid w:val="00871553"/>
    <w:pPr>
      <w:widowControl/>
      <w:tabs>
        <w:tab w:val="clear" w:pos="708"/>
        <w:tab w:val="left" w:pos="993" w:leader="none"/>
      </w:tabs>
      <w:spacing w:before="60" w:after="60"/>
      <w:ind w:left="0" w:firstLine="709"/>
      <w:jc w:val="both"/>
    </w:pPr>
    <w:rPr>
      <w:rFonts w:ascii="Calibri" w:hAnsi="Calibri" w:eastAsia="Times New Roman" w:cs="Times New Roman"/>
      <w:sz w:val="24"/>
      <w:szCs w:val="24"/>
      <w:lang w:val="ru-RU" w:bidi="en-US"/>
    </w:rPr>
  </w:style>
  <w:style w:type="paragraph" w:styleId="G3" w:customStyle="1">
    <w:name w:val="G_Обычный текст"/>
    <w:basedOn w:val="Normal"/>
    <w:link w:val="G2"/>
    <w:qFormat/>
    <w:rsid w:val="00871553"/>
    <w:pPr>
      <w:widowControl/>
      <w:spacing w:before="120" w:after="60"/>
      <w:ind w:firstLine="567"/>
      <w:jc w:val="both"/>
    </w:pPr>
    <w:rPr>
      <w:rFonts w:ascii="Calibri" w:hAnsi="Calibri" w:eastAsia="Times New Roman" w:cs="Times New Roman"/>
      <w:sz w:val="24"/>
      <w:szCs w:val="24"/>
      <w:lang w:val="ru-RU" w:eastAsia="ar-SA"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71553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Style47">
    <w:name w:val="Footer"/>
    <w:basedOn w:val="Style32"/>
    <w:pPr/>
    <w:rPr/>
  </w:style>
  <w:style w:type="paragraph" w:styleId="Style48">
    <w:name w:val="Header"/>
    <w:basedOn w:val="Style32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930fc5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8">
    <w:name w:val="Table Grid"/>
    <w:basedOn w:val="a1"/>
    <w:uiPriority w:val="59"/>
    <w:rsid w:val="00847a2d"/>
    <w:rPr>
      <w:rFonts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eb3128"/>
    <w:rPr>
      <w:lang w:val="en-US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15" TargetMode="External"/><Relationship Id="rId6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16" TargetMode="External"/><Relationship Id="rId7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17" TargetMode="External"/><Relationship Id="rId8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18" TargetMode="External"/><Relationship Id="rId9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19" TargetMode="External"/><Relationship Id="rId10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20" TargetMode="External"/><Relationship Id="rId11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21" TargetMode="External"/><Relationship Id="rId12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22" TargetMode="External"/><Relationship Id="rId13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23" TargetMode="External"/><Relationship Id="rId14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24" TargetMode="External"/><Relationship Id="rId15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25" TargetMode="External"/><Relationship Id="rId16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26" TargetMode="External"/><Relationship Id="rId17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27" TargetMode="External"/><Relationship Id="rId18" Type="http://schemas.openxmlformats.org/officeDocument/2006/relationships/hyperlink" Target="../../%D0%9F%D0%BE%D0%BB%D0%B8%D0%BD%D0%B0/Desktop/%D0%91%D0%BE%D1%80%D0%B7%D0%B8%D0%BD%D1%81%D0%BA%D0%BE%D0%B5/2.0/2.1/%D0%A1%D1%85%D0%B5%D0%BC%D0%B0%20%D0%A2%D0%A1%20%D0%91%D0%BE%D1%80%D0%B7%D0%B8%D0%BD%D1%81%D0%BA%D0%BE%D0%B5%20%D1%83%D1%82%D0%B2%D0%B5%D1%80%D0%B6%D0%B4%D0%B0%D0%B5%D0%BC%D0%B0%D1%8F%20%D1%87%D0%B0%D1%81%D1%82%D1%8C.doc#_Toc21182328" TargetMode="Externa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footer" Target="footer11.xml"/><Relationship Id="rId28" Type="http://schemas.openxmlformats.org/officeDocument/2006/relationships/footer" Target="footer12.xml"/><Relationship Id="rId29" Type="http://schemas.openxmlformats.org/officeDocument/2006/relationships/footer" Target="footer13.xml"/><Relationship Id="rId30" Type="http://schemas.openxmlformats.org/officeDocument/2006/relationships/footer" Target="footer14.xml"/><Relationship Id="rId31" Type="http://schemas.openxmlformats.org/officeDocument/2006/relationships/footer" Target="footer15.xml"/><Relationship Id="rId32" Type="http://schemas.openxmlformats.org/officeDocument/2006/relationships/footer" Target="footer16.xml"/><Relationship Id="rId33" Type="http://schemas.openxmlformats.org/officeDocument/2006/relationships/footer" Target="footer17.xml"/><Relationship Id="rId34" Type="http://schemas.openxmlformats.org/officeDocument/2006/relationships/footer" Target="footer18.xml"/><Relationship Id="rId35" Type="http://schemas.openxmlformats.org/officeDocument/2006/relationships/footer" Target="footer19.xml"/><Relationship Id="rId36" Type="http://schemas.openxmlformats.org/officeDocument/2006/relationships/footer" Target="footer20.xml"/><Relationship Id="rId37" Type="http://schemas.openxmlformats.org/officeDocument/2006/relationships/footer" Target="footer21.xml"/><Relationship Id="rId38" Type="http://schemas.openxmlformats.org/officeDocument/2006/relationships/footer" Target="footer22.xml"/><Relationship Id="rId39" Type="http://schemas.openxmlformats.org/officeDocument/2006/relationships/footer" Target="footer23.xml"/><Relationship Id="rId40" Type="http://schemas.openxmlformats.org/officeDocument/2006/relationships/footer" Target="footer24.xml"/><Relationship Id="rId41" Type="http://schemas.openxmlformats.org/officeDocument/2006/relationships/footer" Target="footer25.xml"/><Relationship Id="rId42" Type="http://schemas.openxmlformats.org/officeDocument/2006/relationships/footer" Target="footer26.xml"/><Relationship Id="rId43" Type="http://schemas.openxmlformats.org/officeDocument/2006/relationships/footer" Target="footer27.xml"/><Relationship Id="rId44" Type="http://schemas.openxmlformats.org/officeDocument/2006/relationships/footer" Target="footer28.xml"/><Relationship Id="rId45" Type="http://schemas.openxmlformats.org/officeDocument/2006/relationships/footer" Target="footer29.xml"/><Relationship Id="rId46" Type="http://schemas.openxmlformats.org/officeDocument/2006/relationships/footer" Target="footer30.xml"/><Relationship Id="rId47" Type="http://schemas.openxmlformats.org/officeDocument/2006/relationships/footer" Target="footer31.xml"/><Relationship Id="rId48" Type="http://schemas.openxmlformats.org/officeDocument/2006/relationships/footer" Target="footer32.xml"/><Relationship Id="rId49" Type="http://schemas.openxmlformats.org/officeDocument/2006/relationships/footer" Target="footer33.xml"/><Relationship Id="rId50" Type="http://schemas.openxmlformats.org/officeDocument/2006/relationships/footer" Target="footer34.xml"/><Relationship Id="rId51" Type="http://schemas.openxmlformats.org/officeDocument/2006/relationships/footer" Target="footer35.xml"/><Relationship Id="rId52" Type="http://schemas.openxmlformats.org/officeDocument/2006/relationships/footer" Target="footer36.xml"/><Relationship Id="rId53" Type="http://schemas.openxmlformats.org/officeDocument/2006/relationships/hyperlink" Target="http://www.energosovet.ru/entech.php?idd=72" TargetMode="External"/><Relationship Id="rId54" Type="http://schemas.openxmlformats.org/officeDocument/2006/relationships/footer" Target="footer37.xml"/><Relationship Id="rId55" Type="http://schemas.openxmlformats.org/officeDocument/2006/relationships/image" Target="media/image2.jpeg"/><Relationship Id="rId56" Type="http://schemas.openxmlformats.org/officeDocument/2006/relationships/image" Target="media/image3.jpeg"/><Relationship Id="rId57" Type="http://schemas.openxmlformats.org/officeDocument/2006/relationships/header" Target="header1.xml"/><Relationship Id="rId58" Type="http://schemas.openxmlformats.org/officeDocument/2006/relationships/footer" Target="footer38.xml"/><Relationship Id="rId59" Type="http://schemas.openxmlformats.org/officeDocument/2006/relationships/numbering" Target="numbering.xml"/><Relationship Id="rId60" Type="http://schemas.openxmlformats.org/officeDocument/2006/relationships/fontTable" Target="fontTable.xml"/><Relationship Id="rId61" Type="http://schemas.openxmlformats.org/officeDocument/2006/relationships/settings" Target="settings.xml"/><Relationship Id="rId62" Type="http://schemas.openxmlformats.org/officeDocument/2006/relationships/theme" Target="theme/theme1.xml"/><Relationship Id="rId6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8E0-0ADB-485D-8DF3-362A35BDB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Application>LibreOffice/6.3.0.4$Windows_x86 LibreOffice_project/057fc023c990d676a43019934386b85b21a9ee99</Application>
  <Pages>63</Pages>
  <Words>10789</Words>
  <Characters>69969</Characters>
  <CharactersWithSpaces>78430</CharactersWithSpaces>
  <Paragraphs>3319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2019-09-11T14:27:00Z</dcterms:created>
  <dc:creator>Полина</dc:creator>
  <dc:description/>
  <dc:language>ru-RU</dc:language>
  <cp:lastModifiedBy>Полина</cp:lastModifiedBy>
  <dcterms:modified xsi:type="dcterms:W3CDTF">2019-10-30T14:41:00Z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